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660" w:type="dxa"/>
        <w:tblCellMar>
          <w:left w:w="0" w:type="dxa"/>
          <w:right w:w="0" w:type="dxa"/>
        </w:tblCellMar>
        <w:tblLook w:val="0000"/>
      </w:tblPr>
      <w:tblGrid>
        <w:gridCol w:w="5329"/>
        <w:gridCol w:w="2367"/>
        <w:gridCol w:w="2964"/>
      </w:tblGrid>
      <w:tr w:rsidR="005D5311" w:rsidRPr="005E13DF" w:rsidTr="00EB450E">
        <w:trPr>
          <w:cantSplit/>
          <w:trHeight w:val="1021"/>
        </w:trPr>
        <w:tc>
          <w:tcPr>
            <w:tcW w:w="7696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5E13DF" w:rsidRDefault="005D5311" w:rsidP="00D541A2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  <w:r w:rsidRPr="005E13DF">
              <w:rPr>
                <w:rFonts w:ascii="Tahoma" w:hAnsi="Tahoma" w:cs="Tahoma"/>
              </w:rPr>
              <w:br w:type="column"/>
            </w:r>
            <w:r w:rsidRPr="005E13DF">
              <w:rPr>
                <w:rFonts w:ascii="Tahoma" w:hAnsi="Tahoma" w:cs="Tahoma"/>
              </w:rPr>
              <w:br w:type="column"/>
            </w:r>
            <w:r w:rsidRPr="005E13DF">
              <w:rPr>
                <w:rFonts w:ascii="Tahoma" w:hAnsi="Tahoma" w:cs="Tahoma"/>
              </w:rPr>
              <w:br w:type="page"/>
            </w:r>
            <w:r w:rsidRPr="005E13DF">
              <w:rPr>
                <w:rFonts w:ascii="Tahoma" w:hAnsi="Tahoma" w:cs="Tahoma"/>
              </w:rPr>
              <w:br w:type="page"/>
            </w:r>
            <w:r w:rsidR="00B97590" w:rsidRPr="005E13DF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2883177" cy="649188"/>
                  <wp:effectExtent l="19050" t="0" r="0" b="0"/>
                  <wp:docPr id="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3177" cy="649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4" w:type="dxa"/>
            <w:tcBorders>
              <w:bottom w:val="nil"/>
            </w:tcBorders>
            <w:tcMar>
              <w:right w:w="57" w:type="dxa"/>
            </w:tcMar>
          </w:tcPr>
          <w:p w:rsidR="005D5311" w:rsidRPr="005E13DF" w:rsidRDefault="005D5311" w:rsidP="009722E9">
            <w:pPr>
              <w:ind w:left="113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5E13DF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5E13DF" w:rsidRDefault="005D5311" w:rsidP="009722E9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5E13DF" w:rsidRDefault="005D5311" w:rsidP="00CF0EA0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</w:rPr>
            </w:pPr>
            <w:r w:rsidRPr="005E13DF">
              <w:rPr>
                <w:rFonts w:ascii="Tahoma" w:hAnsi="Tahoma" w:cs="Tahoma"/>
                <w:sz w:val="16"/>
                <w:lang w:val="sr-Cyrl-BA"/>
              </w:rPr>
              <w:t>[</w:t>
            </w:r>
            <w:r w:rsidR="00CF0EA0" w:rsidRPr="005E13DF">
              <w:rPr>
                <w:rFonts w:ascii="Tahoma" w:hAnsi="Tahoma" w:cs="Tahoma"/>
                <w:sz w:val="16"/>
              </w:rPr>
              <w:t>19</w:t>
            </w:r>
            <w:r w:rsidRPr="005E13DF">
              <w:rPr>
                <w:rFonts w:ascii="Tahoma" w:hAnsi="Tahoma" w:cs="Tahoma"/>
                <w:sz w:val="16"/>
                <w:lang w:val="bs-Cyrl-BA"/>
              </w:rPr>
              <w:t xml:space="preserve">. </w:t>
            </w:r>
            <w:r w:rsidR="00585DEF">
              <w:rPr>
                <w:rFonts w:ascii="Tahoma" w:hAnsi="Tahoma" w:cs="Tahoma"/>
                <w:sz w:val="16"/>
                <w:lang w:val="sr-Cyrl-CS"/>
              </w:rPr>
              <w:t>jul</w:t>
            </w:r>
            <w:r w:rsidR="00AA6475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1A34F5" w:rsidRPr="005E13DF">
              <w:rPr>
                <w:rFonts w:ascii="Tahoma" w:hAnsi="Tahoma" w:cs="Tahoma"/>
                <w:sz w:val="16"/>
                <w:lang w:val="sr-Cyrl-BA"/>
              </w:rPr>
              <w:t>2012</w:t>
            </w:r>
            <w:r w:rsidRPr="005E13DF">
              <w:rPr>
                <w:rFonts w:ascii="Tahoma" w:hAnsi="Tahoma" w:cs="Tahoma"/>
                <w:sz w:val="16"/>
                <w:lang w:val="sr-Cyrl-BA"/>
              </w:rPr>
              <w:t xml:space="preserve">.]  </w:t>
            </w:r>
            <w:r w:rsidR="001B4D57" w:rsidRPr="005E13DF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7</w:t>
            </w:r>
            <w:r w:rsidRPr="005E13DF">
              <w:rPr>
                <w:rFonts w:ascii="Tahoma" w:hAnsi="Tahoma" w:cs="Tahoma"/>
                <w:b/>
                <w:sz w:val="32"/>
                <w:szCs w:val="32"/>
                <w:lang w:val="sr-Cyrl-BA"/>
              </w:rPr>
              <w:t>/1</w:t>
            </w:r>
            <w:r w:rsidR="00910A31" w:rsidRPr="005E13DF">
              <w:rPr>
                <w:rFonts w:ascii="Tahoma" w:hAnsi="Tahoma" w:cs="Tahoma"/>
                <w:b/>
                <w:sz w:val="32"/>
                <w:szCs w:val="32"/>
              </w:rPr>
              <w:t>2</w:t>
            </w:r>
          </w:p>
        </w:tc>
      </w:tr>
      <w:tr w:rsidR="005D5311" w:rsidRPr="005E13DF" w:rsidTr="00EB450E">
        <w:trPr>
          <w:cantSplit/>
          <w:trHeight w:val="145"/>
        </w:trPr>
        <w:tc>
          <w:tcPr>
            <w:tcW w:w="5329" w:type="dxa"/>
            <w:vAlign w:val="center"/>
          </w:tcPr>
          <w:p w:rsidR="005D5311" w:rsidRPr="005E13DF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31" w:type="dxa"/>
            <w:gridSpan w:val="2"/>
            <w:vAlign w:val="center"/>
          </w:tcPr>
          <w:p w:rsidR="005D5311" w:rsidRPr="005E13DF" w:rsidRDefault="005D5311" w:rsidP="009722E9">
            <w:pPr>
              <w:ind w:left="113"/>
              <w:jc w:val="center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5E13DF" w:rsidRDefault="000971CB">
      <w:pPr>
        <w:rPr>
          <w:rFonts w:ascii="Tahoma" w:hAnsi="Tahoma" w:cs="Tahoma"/>
          <w:sz w:val="16"/>
          <w:lang w:val="sr-Cyrl-BA"/>
        </w:rPr>
      </w:pPr>
    </w:p>
    <w:tbl>
      <w:tblPr>
        <w:tblW w:w="10624" w:type="dxa"/>
        <w:jc w:val="center"/>
        <w:shd w:val="clear" w:color="auto" w:fill="336699"/>
        <w:tblLook w:val="04A0"/>
      </w:tblPr>
      <w:tblGrid>
        <w:gridCol w:w="10624"/>
      </w:tblGrid>
      <w:tr w:rsidR="00193339" w:rsidRPr="005E13DF" w:rsidTr="00967682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A65DA8" w:rsidRDefault="007E158B" w:rsidP="008B720B">
            <w:pPr>
              <w:jc w:val="center"/>
              <w:outlineLvl w:val="0"/>
              <w:rPr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A65DA8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585DEF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jul</w:t>
            </w:r>
            <w:r w:rsidR="00DB54DA" w:rsidRPr="00A65DA8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910A31" w:rsidRPr="00A65DA8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A65DA8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 xml:space="preserve">. </w:t>
            </w:r>
            <w:r w:rsidR="00585DEF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godine</w:t>
            </w:r>
          </w:p>
        </w:tc>
      </w:tr>
      <w:tr w:rsidR="00193339" w:rsidRPr="005E13DF" w:rsidTr="00967682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A65DA8" w:rsidRDefault="00585DEF" w:rsidP="008728B3">
            <w:pPr>
              <w:jc w:val="center"/>
              <w:rPr>
                <w:color w:val="FFFFFF" w:themeColor="background1"/>
                <w:sz w:val="24"/>
                <w:szCs w:val="24"/>
                <w:lang w:val="sr-Cyrl-BA"/>
              </w:rPr>
            </w:pP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SAOPŠTENjE</w:t>
            </w:r>
            <w:r w:rsidR="008728B3" w:rsidRPr="00A65DA8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ZA</w:t>
            </w:r>
            <w:r w:rsidR="008728B3" w:rsidRPr="00A65DA8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MEDIJE</w:t>
            </w:r>
          </w:p>
        </w:tc>
      </w:tr>
    </w:tbl>
    <w:p w:rsidR="00CF0EA0" w:rsidRPr="005E13DF" w:rsidRDefault="00CF0EA0" w:rsidP="00CF0EA0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eastAsia="sr-Latn-BA"/>
        </w:rPr>
      </w:pPr>
    </w:p>
    <w:p w:rsidR="00CF0EA0" w:rsidRPr="005E13DF" w:rsidRDefault="00CF0EA0" w:rsidP="00CF0EA0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eastAsia="sr-Latn-BA"/>
        </w:rPr>
      </w:pPr>
    </w:p>
    <w:p w:rsidR="00DA1E57" w:rsidRPr="005E13DF" w:rsidRDefault="00585DEF" w:rsidP="00CF0EA0">
      <w:pPr>
        <w:autoSpaceDE w:val="0"/>
        <w:autoSpaceDN w:val="0"/>
        <w:adjustRightInd w:val="0"/>
        <w:rPr>
          <w:rFonts w:ascii="Tahoma" w:hAnsi="Tahoma" w:cs="Tahoma"/>
          <w:b/>
          <w:bCs/>
          <w:sz w:val="28"/>
          <w:szCs w:val="28"/>
          <w:lang w:eastAsia="sr-Latn-BA"/>
        </w:rPr>
      </w:pPr>
      <w:r>
        <w:rPr>
          <w:rFonts w:ascii="Tahoma" w:hAnsi="Tahoma" w:cs="Tahoma"/>
          <w:b/>
          <w:bCs/>
          <w:sz w:val="28"/>
          <w:szCs w:val="28"/>
          <w:lang w:val="sr-Cyrl-CS" w:eastAsia="sr-Latn-BA"/>
        </w:rPr>
        <w:t>Realni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Cyrl-CS" w:eastAsia="sr-Latn-BA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val="sr-Cyrl-CS" w:eastAsia="sr-Latn-BA"/>
        </w:rPr>
        <w:t>pad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val="sr-Latn-BA" w:eastAsia="sr-Latn-BA"/>
        </w:rPr>
        <w:t>tromjesečnog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val="sr-Latn-BA" w:eastAsia="sr-Latn-BA"/>
        </w:rPr>
        <w:t>bruto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val="sr-Latn-BA" w:eastAsia="sr-Latn-BA"/>
        </w:rPr>
        <w:t>domaćeg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</w:t>
      </w:r>
      <w:r>
        <w:rPr>
          <w:rFonts w:ascii="Tahoma" w:hAnsi="Tahoma" w:cs="Tahoma"/>
          <w:b/>
          <w:bCs/>
          <w:sz w:val="28"/>
          <w:szCs w:val="28"/>
          <w:lang w:val="sr-Latn-BA" w:eastAsia="sr-Latn-BA"/>
        </w:rPr>
        <w:t>proizvoda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0,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Cyrl-CS" w:eastAsia="sr-Latn-BA"/>
        </w:rPr>
        <w:t>9</w:t>
      </w:r>
      <w:r w:rsidR="00CF0EA0"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>%</w:t>
      </w:r>
      <w:r w:rsidR="00CF0EA0" w:rsidRPr="005E13DF">
        <w:rPr>
          <w:rFonts w:ascii="Tahoma" w:hAnsi="Tahoma" w:cs="Tahoma"/>
          <w:b/>
          <w:bCs/>
          <w:sz w:val="28"/>
          <w:szCs w:val="28"/>
          <w:lang w:eastAsia="sr-Latn-BA"/>
        </w:rPr>
        <w:t xml:space="preserve"> </w:t>
      </w:r>
    </w:p>
    <w:p w:rsidR="00CF0EA0" w:rsidRPr="005E13DF" w:rsidRDefault="00CF0EA0" w:rsidP="00CF0EA0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  <w:r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I </w:t>
      </w:r>
      <w:r w:rsidR="00585DEF">
        <w:rPr>
          <w:rFonts w:ascii="Tahoma" w:hAnsi="Tahoma" w:cs="Tahoma"/>
          <w:b/>
          <w:bCs/>
          <w:sz w:val="28"/>
          <w:szCs w:val="28"/>
          <w:lang w:val="sr-Latn-BA" w:eastAsia="sr-Latn-BA"/>
        </w:rPr>
        <w:t>tromjesečje</w:t>
      </w:r>
      <w:r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201</w:t>
      </w:r>
      <w:r w:rsidRPr="005E13DF">
        <w:rPr>
          <w:rFonts w:ascii="Tahoma" w:hAnsi="Tahoma" w:cs="Tahoma"/>
          <w:b/>
          <w:bCs/>
          <w:sz w:val="28"/>
          <w:szCs w:val="28"/>
          <w:lang w:val="sr-Cyrl-CS" w:eastAsia="sr-Latn-BA"/>
        </w:rPr>
        <w:t>2</w:t>
      </w:r>
      <w:r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/I </w:t>
      </w:r>
      <w:r w:rsidR="00585DEF">
        <w:rPr>
          <w:rFonts w:ascii="Tahoma" w:hAnsi="Tahoma" w:cs="Tahoma"/>
          <w:b/>
          <w:bCs/>
          <w:sz w:val="28"/>
          <w:szCs w:val="28"/>
          <w:lang w:val="sr-Latn-BA" w:eastAsia="sr-Latn-BA"/>
        </w:rPr>
        <w:t>tromjesečje</w:t>
      </w:r>
      <w:r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 xml:space="preserve"> 20</w:t>
      </w:r>
      <w:r w:rsidRPr="005E13DF">
        <w:rPr>
          <w:rFonts w:ascii="Tahoma" w:hAnsi="Tahoma" w:cs="Tahoma"/>
          <w:b/>
          <w:bCs/>
          <w:sz w:val="28"/>
          <w:szCs w:val="28"/>
          <w:lang w:val="sr-Cyrl-CS" w:eastAsia="sr-Latn-BA"/>
        </w:rPr>
        <w:t>11</w:t>
      </w:r>
      <w:r w:rsidRPr="005E13DF">
        <w:rPr>
          <w:rFonts w:ascii="Tahoma" w:hAnsi="Tahoma" w:cs="Tahoma"/>
          <w:b/>
          <w:bCs/>
          <w:sz w:val="28"/>
          <w:szCs w:val="28"/>
          <w:lang w:val="sr-Latn-BA" w:eastAsia="sr-Latn-BA"/>
        </w:rPr>
        <w:t>.</w:t>
      </w:r>
    </w:p>
    <w:p w:rsidR="00CF0EA0" w:rsidRPr="005E13DF" w:rsidRDefault="00CF0EA0" w:rsidP="00CF0EA0">
      <w:pPr>
        <w:autoSpaceDE w:val="0"/>
        <w:autoSpaceDN w:val="0"/>
        <w:adjustRightInd w:val="0"/>
        <w:rPr>
          <w:rFonts w:ascii="Tahoma" w:hAnsi="Tahoma" w:cs="Tahoma"/>
          <w:sz w:val="28"/>
          <w:szCs w:val="28"/>
          <w:lang w:val="sr-Cyrl-CS" w:eastAsia="sr-Latn-BA"/>
        </w:rPr>
      </w:pPr>
    </w:p>
    <w:p w:rsidR="00CF0EA0" w:rsidRPr="005E13DF" w:rsidRDefault="00585DEF" w:rsidP="00CF0EA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eastAsia="sr-Latn-BA"/>
        </w:rPr>
      </w:pPr>
      <w:r>
        <w:rPr>
          <w:rFonts w:ascii="Tahoma" w:hAnsi="Tahoma" w:cs="Tahoma"/>
          <w:sz w:val="18"/>
          <w:szCs w:val="18"/>
          <w:lang w:val="sr-Latn-BA" w:eastAsia="sr-Latn-BA"/>
        </w:rPr>
        <w:t>Tromjesečni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bruto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domaći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proizvod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realno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manji</w:t>
      </w:r>
      <w:r w:rsidR="00DA1E57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za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 w:rsidR="00CF0EA0" w:rsidRPr="005E13DF">
        <w:rPr>
          <w:rFonts w:ascii="Tahoma" w:hAnsi="Tahoma" w:cs="Tahoma"/>
          <w:sz w:val="18"/>
          <w:szCs w:val="18"/>
          <w:lang w:eastAsia="sr-Latn-BA"/>
        </w:rPr>
        <w:t>0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,9% </w:t>
      </w: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prvom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tromjesečju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201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>2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. </w:t>
      </w:r>
      <w:r>
        <w:rPr>
          <w:rFonts w:ascii="Tahoma" w:hAnsi="Tahoma" w:cs="Tahoma"/>
          <w:sz w:val="18"/>
          <w:szCs w:val="18"/>
          <w:lang w:val="sr-Latn-BA" w:eastAsia="sr-Latn-BA"/>
        </w:rPr>
        <w:t>godine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odnosu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na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prvo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tromjesečje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20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>11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. </w:t>
      </w:r>
      <w:proofErr w:type="gramStart"/>
      <w:r>
        <w:rPr>
          <w:rFonts w:ascii="Tahoma" w:hAnsi="Tahoma" w:cs="Tahoma"/>
          <w:sz w:val="18"/>
          <w:szCs w:val="18"/>
          <w:lang w:eastAsia="sr-Latn-BA"/>
        </w:rPr>
        <w:t>g</w:t>
      </w:r>
      <w:r>
        <w:rPr>
          <w:rFonts w:ascii="Tahoma" w:hAnsi="Tahoma" w:cs="Tahoma"/>
          <w:sz w:val="18"/>
          <w:szCs w:val="18"/>
          <w:lang w:val="sr-Latn-BA" w:eastAsia="sr-Latn-BA"/>
        </w:rPr>
        <w:t>odine</w:t>
      </w:r>
      <w:proofErr w:type="gramEnd"/>
      <w:r w:rsidR="00CF0EA0" w:rsidRPr="005E13DF">
        <w:rPr>
          <w:rFonts w:ascii="Tahoma" w:hAnsi="Tahoma" w:cs="Tahoma"/>
          <w:sz w:val="18"/>
          <w:szCs w:val="18"/>
          <w:lang w:eastAsia="sr-Latn-BA"/>
        </w:rPr>
        <w:t>.</w:t>
      </w:r>
    </w:p>
    <w:p w:rsidR="00CF0EA0" w:rsidRPr="005E13DF" w:rsidRDefault="00585DEF" w:rsidP="00CF0EA0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Latn-BA" w:eastAsia="sr-Latn-BA"/>
        </w:rPr>
        <w:t>Posmatrano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područjima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Klasifikacije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djelatnosti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, </w:t>
      </w:r>
      <w:r>
        <w:rPr>
          <w:rFonts w:ascii="Tahoma" w:hAnsi="Tahoma" w:cs="Tahoma"/>
          <w:sz w:val="18"/>
          <w:szCs w:val="18"/>
          <w:lang w:val="sr-Latn-BA" w:eastAsia="sr-Latn-BA"/>
        </w:rPr>
        <w:t>najveći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realni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rast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bruto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dodate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vrijednosti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ostvaren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područjima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Ostale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javne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, </w:t>
      </w:r>
      <w:r>
        <w:rPr>
          <w:rFonts w:ascii="Tahoma" w:hAnsi="Tahoma" w:cs="Tahoma"/>
          <w:i/>
          <w:sz w:val="18"/>
          <w:szCs w:val="18"/>
        </w:rPr>
        <w:t>komunalne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, </w:t>
      </w:r>
      <w:r>
        <w:rPr>
          <w:rFonts w:ascii="Tahoma" w:hAnsi="Tahoma" w:cs="Tahoma"/>
          <w:i/>
          <w:sz w:val="18"/>
          <w:szCs w:val="18"/>
        </w:rPr>
        <w:t>društvene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, </w:t>
      </w:r>
      <w:r>
        <w:rPr>
          <w:rFonts w:ascii="Tahoma" w:hAnsi="Tahoma" w:cs="Tahoma"/>
          <w:i/>
          <w:sz w:val="18"/>
          <w:szCs w:val="18"/>
        </w:rPr>
        <w:t>socijalne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i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lične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uslužne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</w:rPr>
        <w:t>djelatnosti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za</w:t>
      </w:r>
      <w:r w:rsidR="00CF0EA0" w:rsidRPr="005E13DF">
        <w:rPr>
          <w:rFonts w:ascii="Tahoma" w:hAnsi="Tahoma" w:cs="Tahoma"/>
          <w:sz w:val="18"/>
          <w:szCs w:val="18"/>
        </w:rPr>
        <w:t xml:space="preserve"> 3,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3</w:t>
      </w:r>
      <w:r w:rsidR="00CF0EA0" w:rsidRPr="005E13DF">
        <w:rPr>
          <w:rFonts w:ascii="Tahoma" w:hAnsi="Tahoma" w:cs="Tahoma"/>
          <w:sz w:val="18"/>
          <w:szCs w:val="18"/>
        </w:rPr>
        <w:t>%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Finansijsko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posredovanje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3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>,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0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>%</w:t>
      </w:r>
      <w:r w:rsidR="00CF0EA0" w:rsidRPr="005E13DF">
        <w:rPr>
          <w:rFonts w:ascii="Tahoma" w:hAnsi="Tahoma" w:cs="Tahoma"/>
          <w:sz w:val="18"/>
          <w:szCs w:val="18"/>
        </w:rPr>
        <w:t>,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Zdravstveni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socijalni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rad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2,7%,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Saobraćaj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i/>
          <w:sz w:val="18"/>
          <w:szCs w:val="18"/>
          <w:lang w:val="ru-RU"/>
        </w:rPr>
        <w:t>skladištenje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komunikacije</w:t>
      </w:r>
      <w:r w:rsidR="00CF0EA0" w:rsidRPr="005E13D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2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>,</w:t>
      </w:r>
      <w:r w:rsidR="00CF0EA0" w:rsidRPr="005E13DF">
        <w:rPr>
          <w:rFonts w:ascii="Tahoma" w:hAnsi="Tahoma" w:cs="Tahoma"/>
          <w:sz w:val="18"/>
          <w:szCs w:val="18"/>
        </w:rPr>
        <w:t>6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>%,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Obrazovanje</w:t>
      </w:r>
      <w:r w:rsidR="00CF0EA0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2,5% </w:t>
      </w:r>
      <w:r>
        <w:rPr>
          <w:rFonts w:ascii="Tahoma" w:hAnsi="Tahoma" w:cs="Tahoma"/>
          <w:sz w:val="18"/>
          <w:szCs w:val="18"/>
          <w:lang w:val="sr-Latn-BA" w:eastAsia="sr-Latn-BA"/>
        </w:rPr>
        <w:t>dok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bruto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dodata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vrijednost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realno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manja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područjima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>: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6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>,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>3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%, </w:t>
      </w:r>
      <w:r>
        <w:rPr>
          <w:rFonts w:ascii="Tahoma" w:hAnsi="Tahoma" w:cs="Tahoma"/>
          <w:i/>
          <w:sz w:val="18"/>
          <w:szCs w:val="18"/>
          <w:lang w:val="ru-RU"/>
        </w:rPr>
        <w:t>Građevinarstvo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5,5%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i/>
          <w:sz w:val="18"/>
          <w:szCs w:val="18"/>
          <w:lang w:val="ru-RU"/>
        </w:rPr>
        <w:t>Poljoprivreda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>,</w:t>
      </w:r>
      <w:r w:rsidR="00CF0EA0" w:rsidRPr="005E13DF">
        <w:rPr>
          <w:rFonts w:ascii="Tahoma" w:hAnsi="Tahoma" w:cs="Tahoma"/>
          <w:i/>
          <w:sz w:val="18"/>
          <w:szCs w:val="18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lov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šumarstvo</w:t>
      </w:r>
      <w:r w:rsidR="00CF0EA0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CF0EA0" w:rsidRPr="005E13DF">
        <w:rPr>
          <w:rFonts w:ascii="Tahoma" w:hAnsi="Tahoma" w:cs="Tahoma"/>
          <w:sz w:val="18"/>
          <w:szCs w:val="18"/>
          <w:lang w:val="ru-RU"/>
        </w:rPr>
        <w:t xml:space="preserve"> 4,1%.</w:t>
      </w:r>
      <w:r w:rsidR="00CF0EA0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</w:p>
    <w:p w:rsidR="00CF0EA0" w:rsidRPr="005E13DF" w:rsidRDefault="00585DEF" w:rsidP="00CF0EA0">
      <w:pPr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18"/>
          <w:szCs w:val="18"/>
          <w:lang w:val="sr-Cyrl-CS" w:eastAsia="sr-Latn-BA"/>
        </w:rPr>
      </w:pP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zemljama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iz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okruženja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zabilježene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su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sljedeće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stope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realnog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rasta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bruto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domaćeg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proizvoda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za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prvo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tromjesečje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2012. </w:t>
      </w:r>
      <w:r>
        <w:rPr>
          <w:rFonts w:ascii="Tahoma" w:hAnsi="Tahoma" w:cs="Tahoma"/>
          <w:sz w:val="18"/>
          <w:szCs w:val="18"/>
          <w:lang w:val="sr-Cyrl-CS" w:eastAsia="sr-Latn-BA"/>
        </w:rPr>
        <w:t>godine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odnosu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na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isto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tromjesečje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2011. </w:t>
      </w:r>
      <w:r>
        <w:rPr>
          <w:rFonts w:ascii="Tahoma" w:hAnsi="Tahoma" w:cs="Tahoma"/>
          <w:sz w:val="18"/>
          <w:szCs w:val="18"/>
          <w:lang w:val="sr-Cyrl-CS" w:eastAsia="sr-Latn-BA"/>
        </w:rPr>
        <w:t>godine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i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to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: </w:t>
      </w:r>
      <w:r>
        <w:rPr>
          <w:rFonts w:ascii="Tahoma" w:hAnsi="Tahoma" w:cs="Tahoma"/>
          <w:sz w:val="18"/>
          <w:szCs w:val="18"/>
          <w:lang w:val="sr-Cyrl-CS" w:eastAsia="sr-Latn-BA"/>
        </w:rPr>
        <w:t>Slovenija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(-0,2%), </w:t>
      </w:r>
      <w:r>
        <w:rPr>
          <w:rFonts w:ascii="Tahoma" w:hAnsi="Tahoma" w:cs="Tahoma"/>
          <w:sz w:val="18"/>
          <w:szCs w:val="18"/>
          <w:lang w:val="sr-Cyrl-CS" w:eastAsia="sr-Latn-BA"/>
        </w:rPr>
        <w:t>Srbija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(-1,3%), </w:t>
      </w:r>
      <w:r>
        <w:rPr>
          <w:rFonts w:ascii="Tahoma" w:hAnsi="Tahoma" w:cs="Tahoma"/>
          <w:sz w:val="18"/>
          <w:szCs w:val="18"/>
          <w:lang w:val="sr-Cyrl-CS" w:eastAsia="sr-Latn-BA"/>
        </w:rPr>
        <w:t>Hrvatska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(-1,3%) </w:t>
      </w:r>
      <w:r>
        <w:rPr>
          <w:rFonts w:ascii="Tahoma" w:hAnsi="Tahoma" w:cs="Tahoma"/>
          <w:sz w:val="18"/>
          <w:szCs w:val="18"/>
          <w:lang w:val="sr-Cyrl-CS" w:eastAsia="sr-Latn-BA"/>
        </w:rPr>
        <w:t>i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Makedonija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(-1,4%). </w:t>
      </w:r>
    </w:p>
    <w:p w:rsidR="00B07584" w:rsidRPr="005E13DF" w:rsidRDefault="00CF0EA0" w:rsidP="00CF0EA0">
      <w:pPr>
        <w:spacing w:line="360" w:lineRule="auto"/>
        <w:jc w:val="center"/>
        <w:rPr>
          <w:lang w:val="sr-Cyrl-BA"/>
        </w:rPr>
      </w:pPr>
      <w:r w:rsidRPr="005E13DF">
        <w:rPr>
          <w:rFonts w:ascii="Tahoma" w:hAnsi="Tahoma" w:cs="Tahoma"/>
          <w:b/>
          <w:noProof/>
          <w:sz w:val="28"/>
          <w:szCs w:val="28"/>
        </w:rPr>
        <w:drawing>
          <wp:inline distT="0" distB="0" distL="0" distR="0">
            <wp:extent cx="5502303" cy="2981739"/>
            <wp:effectExtent l="0" t="0" r="0" b="0"/>
            <wp:docPr id="5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F0EA0" w:rsidRPr="005E13DF" w:rsidRDefault="00CF0EA0" w:rsidP="00CF0EA0">
      <w:pPr>
        <w:jc w:val="center"/>
        <w:rPr>
          <w:rFonts w:ascii="Tahoma" w:hAnsi="Tahoma" w:cs="Tahoma"/>
          <w:b/>
          <w:sz w:val="28"/>
          <w:szCs w:val="28"/>
        </w:rPr>
      </w:pPr>
    </w:p>
    <w:p w:rsidR="00CF0EA0" w:rsidRPr="005E13DF" w:rsidRDefault="00585DEF" w:rsidP="00CF0EA0">
      <w:pPr>
        <w:jc w:val="center"/>
        <w:rPr>
          <w:rFonts w:ascii="Tahoma" w:hAnsi="Tahoma" w:cs="Tahoma"/>
          <w:lang w:val="sr-Cyrl-CS"/>
        </w:rPr>
      </w:pPr>
      <w:r>
        <w:rPr>
          <w:rFonts w:ascii="Tahoma" w:hAnsi="Tahoma" w:cs="Tahoma"/>
          <w:sz w:val="18"/>
          <w:szCs w:val="18"/>
          <w:lang w:val="sr-Cyrl-CS" w:eastAsia="sr-Latn-BA"/>
        </w:rPr>
        <w:t>Grafikon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1</w:t>
      </w:r>
      <w:r w:rsidR="00CF0EA0" w:rsidRPr="005E13DF">
        <w:rPr>
          <w:rFonts w:ascii="Calibri" w:hAnsi="Calibri"/>
          <w:sz w:val="18"/>
          <w:szCs w:val="18"/>
          <w:lang w:eastAsia="sr-Latn-BA"/>
        </w:rPr>
        <w:t>.</w:t>
      </w:r>
      <w:r w:rsidR="00CF0EA0" w:rsidRPr="005E13DF">
        <w:rPr>
          <w:rFonts w:ascii="Calibri" w:hAnsi="Calibri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Stope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realnog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rasta</w:t>
      </w:r>
      <w:r w:rsidR="00CF0EA0" w:rsidRPr="005E13DF">
        <w:rPr>
          <w:rFonts w:ascii="Tahoma" w:hAnsi="Tahoma" w:cs="Tahoma"/>
          <w:sz w:val="18"/>
          <w:szCs w:val="18"/>
          <w:lang w:eastAsia="sr-Latn-BA"/>
        </w:rPr>
        <w:t xml:space="preserve"> </w:t>
      </w:r>
      <w:r>
        <w:rPr>
          <w:rFonts w:ascii="Tahoma" w:hAnsi="Tahoma" w:cs="Tahoma"/>
          <w:sz w:val="18"/>
          <w:szCs w:val="18"/>
          <w:lang w:eastAsia="sr-Latn-BA"/>
        </w:rPr>
        <w:t>BDP</w:t>
      </w:r>
      <w:r w:rsidR="00CF0EA0" w:rsidRPr="005E13DF">
        <w:rPr>
          <w:rFonts w:ascii="Tahoma" w:hAnsi="Tahoma" w:cs="Tahoma"/>
          <w:sz w:val="18"/>
          <w:szCs w:val="18"/>
          <w:lang w:eastAsia="sr-Latn-BA"/>
        </w:rPr>
        <w:t>,</w:t>
      </w:r>
      <w:r w:rsidR="00CF0EA0" w:rsidRPr="005E13DF">
        <w:rPr>
          <w:rFonts w:ascii="Tahoma" w:hAnsi="Tahoma" w:cs="Tahoma"/>
          <w:sz w:val="18"/>
          <w:szCs w:val="18"/>
          <w:lang w:val="sr-Cyrl-CS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 w:eastAsia="sr-Latn-BA"/>
        </w:rPr>
        <w:t>p</w:t>
      </w:r>
      <w:r>
        <w:rPr>
          <w:rFonts w:ascii="Tahoma" w:hAnsi="Tahoma" w:cs="Tahoma"/>
          <w:sz w:val="18"/>
          <w:szCs w:val="18"/>
          <w:lang w:val="sr-Latn-BA" w:eastAsia="sr-Latn-BA"/>
        </w:rPr>
        <w:t>romjene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odnosu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na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isto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tromjesečje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prethodne</w:t>
      </w:r>
      <w:r w:rsidR="00CF0EA0" w:rsidRPr="005E13DF">
        <w:rPr>
          <w:rFonts w:ascii="Tahoma" w:hAnsi="Tahoma" w:cs="Tahoma"/>
          <w:sz w:val="18"/>
          <w:szCs w:val="18"/>
          <w:lang w:val="sr-Latn-BA" w:eastAsia="sr-Latn-BA"/>
        </w:rPr>
        <w:t xml:space="preserve"> </w:t>
      </w:r>
      <w:r>
        <w:rPr>
          <w:rFonts w:ascii="Tahoma" w:hAnsi="Tahoma" w:cs="Tahoma"/>
          <w:sz w:val="18"/>
          <w:szCs w:val="18"/>
          <w:lang w:val="sr-Latn-BA" w:eastAsia="sr-Latn-BA"/>
        </w:rPr>
        <w:t>godine</w:t>
      </w:r>
    </w:p>
    <w:p w:rsidR="00CF0EA0" w:rsidRPr="005E13DF" w:rsidRDefault="00CF0EA0" w:rsidP="00CF0EA0">
      <w:pPr>
        <w:jc w:val="center"/>
        <w:rPr>
          <w:rFonts w:ascii="Tahoma" w:hAnsi="Tahoma" w:cs="Tahoma"/>
          <w:b/>
          <w:sz w:val="28"/>
          <w:szCs w:val="28"/>
          <w:lang w:val="sr-Cyrl-CS"/>
        </w:rPr>
      </w:pPr>
      <w:r w:rsidRPr="005E13DF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CF0EA0" w:rsidRPr="005E13DF" w:rsidRDefault="00585DEF" w:rsidP="00CF0EA0">
      <w:pPr>
        <w:rPr>
          <w:rFonts w:ascii="Tahoma" w:hAnsi="Tahoma" w:cs="Tahoma"/>
          <w:b/>
          <w:sz w:val="28"/>
          <w:szCs w:val="28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lastRenderedPageBreak/>
        <w:t>Stopa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realnog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rasta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BDP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za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2011. </w:t>
      </w:r>
      <w:r>
        <w:rPr>
          <w:rFonts w:ascii="Tahoma" w:hAnsi="Tahoma" w:cs="Tahoma"/>
          <w:b/>
          <w:sz w:val="28"/>
          <w:szCs w:val="28"/>
          <w:lang w:val="sr-Cyrl-CS"/>
        </w:rPr>
        <w:t>godinu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0,8% (</w:t>
      </w:r>
      <w:r>
        <w:rPr>
          <w:rFonts w:ascii="Tahoma" w:hAnsi="Tahoma" w:cs="Tahoma"/>
          <w:b/>
          <w:sz w:val="28"/>
          <w:szCs w:val="28"/>
          <w:lang w:val="sr-Cyrl-CS"/>
        </w:rPr>
        <w:t>prethodni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podaci</w:t>
      </w:r>
      <w:r w:rsidR="00CF0EA0" w:rsidRPr="005E13DF">
        <w:rPr>
          <w:rFonts w:ascii="Tahoma" w:hAnsi="Tahoma" w:cs="Tahoma"/>
          <w:b/>
          <w:sz w:val="28"/>
          <w:szCs w:val="28"/>
          <w:lang w:val="sr-Cyrl-CS"/>
        </w:rPr>
        <w:t>)</w:t>
      </w:r>
    </w:p>
    <w:p w:rsidR="00CF0EA0" w:rsidRPr="005E13DF" w:rsidRDefault="00CF0EA0" w:rsidP="00CF0EA0">
      <w:pPr>
        <w:rPr>
          <w:rFonts w:ascii="Tahoma" w:hAnsi="Tahoma" w:cs="Tahoma"/>
          <w:sz w:val="24"/>
          <w:szCs w:val="24"/>
        </w:rPr>
      </w:pP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U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odnosu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na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2010. </w:t>
      </w:r>
      <w:r w:rsidR="00585DEF">
        <w:rPr>
          <w:rFonts w:ascii="Tahoma" w:hAnsi="Tahoma" w:cs="Tahoma"/>
          <w:sz w:val="24"/>
          <w:szCs w:val="24"/>
          <w:lang w:val="sr-Cyrl-CS"/>
        </w:rPr>
        <w:t>godinu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, </w:t>
      </w:r>
      <w:r w:rsidR="00585DEF">
        <w:rPr>
          <w:rFonts w:ascii="Tahoma" w:hAnsi="Tahoma" w:cs="Tahoma"/>
          <w:sz w:val="24"/>
          <w:szCs w:val="24"/>
          <w:lang w:val="sr-Cyrl-CS"/>
        </w:rPr>
        <w:t>BDP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nominalno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veći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Pr="005E13DF">
        <w:rPr>
          <w:rFonts w:ascii="Tahoma" w:hAnsi="Tahoma" w:cs="Tahoma"/>
          <w:sz w:val="24"/>
          <w:szCs w:val="24"/>
          <w:lang w:val="sr-Cyrl-BA"/>
        </w:rPr>
        <w:t>4,4</w:t>
      </w:r>
      <w:r w:rsidRPr="005E13DF">
        <w:rPr>
          <w:rFonts w:ascii="Tahoma" w:hAnsi="Tahoma" w:cs="Tahoma"/>
          <w:sz w:val="24"/>
          <w:szCs w:val="24"/>
          <w:lang w:val="sr-Cyrl-CS"/>
        </w:rPr>
        <w:t>% (</w:t>
      </w:r>
      <w:r w:rsidR="00585DEF">
        <w:rPr>
          <w:rFonts w:ascii="Tahoma" w:hAnsi="Tahoma" w:cs="Tahoma"/>
          <w:sz w:val="24"/>
          <w:szCs w:val="24"/>
          <w:lang w:val="sr-Cyrl-CS"/>
        </w:rPr>
        <w:t>prethodni</w:t>
      </w:r>
      <w:r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85DEF">
        <w:rPr>
          <w:rFonts w:ascii="Tahoma" w:hAnsi="Tahoma" w:cs="Tahoma"/>
          <w:sz w:val="24"/>
          <w:szCs w:val="24"/>
          <w:lang w:val="sr-Cyrl-CS"/>
        </w:rPr>
        <w:t>podaci</w:t>
      </w:r>
      <w:r w:rsidRPr="005E13DF">
        <w:rPr>
          <w:rFonts w:ascii="Tahoma" w:hAnsi="Tahoma" w:cs="Tahoma"/>
          <w:sz w:val="24"/>
          <w:szCs w:val="24"/>
          <w:lang w:val="sr-Cyrl-CS"/>
        </w:rPr>
        <w:t>)</w:t>
      </w:r>
    </w:p>
    <w:p w:rsidR="00CF0EA0" w:rsidRPr="005E13DF" w:rsidRDefault="00CF0EA0" w:rsidP="00CF0EA0">
      <w:pPr>
        <w:rPr>
          <w:rFonts w:ascii="Tahoma" w:hAnsi="Tahoma" w:cs="Tahoma"/>
          <w:sz w:val="24"/>
          <w:szCs w:val="24"/>
        </w:rPr>
      </w:pPr>
    </w:p>
    <w:tbl>
      <w:tblPr>
        <w:tblW w:w="10225" w:type="dxa"/>
        <w:jc w:val="center"/>
        <w:tblInd w:w="198" w:type="dxa"/>
        <w:tblCellMar>
          <w:left w:w="0" w:type="dxa"/>
          <w:right w:w="0" w:type="dxa"/>
        </w:tblCellMar>
        <w:tblLook w:val="0000"/>
      </w:tblPr>
      <w:tblGrid>
        <w:gridCol w:w="10225"/>
      </w:tblGrid>
      <w:tr w:rsidR="00CF0EA0" w:rsidRPr="005E13DF" w:rsidTr="00CF0EA0">
        <w:trPr>
          <w:trHeight w:hRule="exact" w:val="794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Bruto</w:t>
            </w:r>
            <w:r w:rsidR="00CF0EA0" w:rsidRPr="005E13DF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domaći</w:t>
            </w:r>
            <w:r w:rsidR="00CF0EA0" w:rsidRPr="005E13DF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proizvod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2011.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godinu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obračunat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primjenom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„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Proizvodne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metode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“,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iskazan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tekućim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cijenama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kao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prethodni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podatak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iznosi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ru-RU"/>
              </w:rPr>
              <w:t>8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670 050 </w:t>
            </w:r>
            <w:r w:rsidR="00503EDA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000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odnosno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6 064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stanovniku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odnosu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2010.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godinu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bruto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domaći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proizvod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nominalno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veći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4,4%,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realno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0,8%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>.</w:t>
            </w: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CF0EA0" w:rsidRPr="005E13DF" w:rsidRDefault="00CF0EA0" w:rsidP="00CF20D0">
            <w:pPr>
              <w:ind w:left="8"/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CF0EA0" w:rsidRPr="005E13DF" w:rsidTr="00CF0EA0">
        <w:trPr>
          <w:trHeight w:hRule="exact" w:val="817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strukturi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bruto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domaćeg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proizvoda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najznačajnij</w:t>
            </w:r>
            <w:r w:rsidR="00CF0EA0" w:rsidRPr="005E13DF">
              <w:rPr>
                <w:rFonts w:ascii="Tahoma" w:hAnsi="Tahoma" w:cs="Tahoma"/>
                <w:sz w:val="18"/>
                <w:szCs w:val="18"/>
              </w:rPr>
              <w:t>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učešće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ima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područje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Trgovine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12,0%,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zatim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slijedi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Poljoprivreda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10,2%,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Državna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uprava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odbrana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obavezno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socijalno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osiguranje</w:t>
            </w:r>
            <w:r w:rsidR="00963DD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sa</w:t>
            </w:r>
            <w:r w:rsidR="00963DD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10,1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potom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Prerađivačka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industrija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9,0%,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Poslovanje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nekretninama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iznajmljivanje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poslovne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djelatnosti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8,6%,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itd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>.</w:t>
            </w: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CF0EA0" w:rsidRPr="005E13DF" w:rsidTr="00CF0EA0">
        <w:trPr>
          <w:trHeight w:hRule="exact" w:val="1207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Najveći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realni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rast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područjima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djelatnosti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zabilježen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područjima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Vađenje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ruda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kamena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17,3%,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Ribarstvo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4,7%,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Obrazovanje</w:t>
            </w:r>
            <w:r w:rsidR="00963DD2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4,2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Ostale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javne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komunalne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društvene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socijalne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lične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uslužne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djelatnosti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</w:rPr>
              <w:t>3,9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Zdravstveni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socijalni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rad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3,5%,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Prerađivačka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industrija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3,2%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Finansijsko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posredovanje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3,0%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,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dok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negativna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stopa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rasta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zabilježena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područjima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Građevinarstvo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(–4,3%),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Poljoprivreda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lov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šumarstvo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(-4,0%)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Poslovanje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nekretninama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iznajmljivanje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poslovne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djelatnosti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(-1,0%).</w:t>
            </w:r>
          </w:p>
        </w:tc>
      </w:tr>
      <w:tr w:rsidR="00CF0EA0" w:rsidRPr="005E13DF" w:rsidTr="00CF0EA0">
        <w:trPr>
          <w:trHeight w:hRule="exact" w:val="794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Prema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dohodovnom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pristupu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strukturi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bruto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domaćeg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proizvoda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sredstva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zaposlene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odnosi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4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Latn-CS"/>
              </w:rPr>
              <w:t>8,5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potrošnju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fiksnog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kapitala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14,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Latn-CS"/>
              </w:rPr>
              <w:t>3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neto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porezi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proizvodnju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su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-0,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Latn-CS"/>
              </w:rPr>
              <w:t>1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neto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operativni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višak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neto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mješoviti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dohodak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CS"/>
              </w:rPr>
              <w:t>ostaje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Latn-CS"/>
              </w:rPr>
              <w:t>19,4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CS"/>
              </w:rPr>
              <w:t>%.</w:t>
            </w: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CF0EA0" w:rsidRPr="005E13DF" w:rsidTr="00CF0EA0">
        <w:trPr>
          <w:trHeight w:hRule="exact" w:val="900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CF0EA0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F0EA0" w:rsidRPr="005E13DF" w:rsidRDefault="00CF0EA0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CF0EA0" w:rsidRPr="005E13DF" w:rsidRDefault="00585DEF" w:rsidP="00CF20D0">
            <w:pPr>
              <w:jc w:val="both"/>
              <w:rPr>
                <w:rFonts w:ascii="Calibri" w:hAnsi="Calibri"/>
                <w:sz w:val="24"/>
                <w:szCs w:val="24"/>
                <w:lang w:eastAsia="sr-Latn-BA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Ostvarene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investicije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za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2011. 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godinu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1 340 321 000 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KM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(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prethodni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podaci</w:t>
            </w:r>
            <w:r w:rsidR="00CF0EA0" w:rsidRPr="005E13DF"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)</w:t>
            </w:r>
          </w:p>
        </w:tc>
      </w:tr>
      <w:tr w:rsidR="00CF0EA0" w:rsidRPr="005E13DF" w:rsidTr="00CF0EA0">
        <w:trPr>
          <w:trHeight w:hRule="exact" w:val="1162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>
              <w:rPr>
                <w:rFonts w:ascii="Tahoma" w:hAnsi="Tahoma" w:cs="Tahoma"/>
                <w:b/>
                <w:sz w:val="18"/>
                <w:szCs w:val="18"/>
                <w:lang w:val="sr-Cyrl-BA"/>
              </w:rPr>
              <w:t>Ostvarene</w:t>
            </w:r>
            <w:r w:rsidR="00CF0EA0" w:rsidRPr="005E13DF">
              <w:rPr>
                <w:rFonts w:ascii="Tahoma" w:hAnsi="Tahoma" w:cs="Tahoma"/>
                <w:b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b/>
                <w:sz w:val="18"/>
                <w:szCs w:val="18"/>
                <w:lang w:val="sr-Cyrl-BA"/>
              </w:rPr>
              <w:t>investicije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poslovnih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subjekata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(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prethodni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podaci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),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čije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sjedište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Republici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Srpskoj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>,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2011.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godini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iznosile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su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1 340 321 000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strukturi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investicionih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ulaganja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prema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djelatnosti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investitora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najviše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učestvuju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Državna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uprava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odbrana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obavezno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socijalno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osiguranje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27,0%,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Prerađivačka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industrija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16,4%,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Saobraćaj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skladištenje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komunikacije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13,0%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itd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>.</w:t>
            </w:r>
          </w:p>
          <w:p w:rsidR="00CF0EA0" w:rsidRPr="005E13DF" w:rsidRDefault="00CF0EA0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CF0EA0" w:rsidRPr="005E13DF" w:rsidTr="00CF0EA0">
        <w:trPr>
          <w:trHeight w:hRule="exact" w:val="1810"/>
          <w:jc w:val="center"/>
        </w:trPr>
        <w:tc>
          <w:tcPr>
            <w:tcW w:w="10225" w:type="dxa"/>
            <w:tcMar>
              <w:left w:w="57" w:type="dxa"/>
              <w:right w:w="57" w:type="dxa"/>
            </w:tcMar>
          </w:tcPr>
          <w:p w:rsidR="00CF0EA0" w:rsidRPr="005E13DF" w:rsidRDefault="00585DEF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>
              <w:rPr>
                <w:rFonts w:ascii="Tahoma" w:hAnsi="Tahoma" w:cs="Tahoma"/>
                <w:sz w:val="18"/>
                <w:szCs w:val="18"/>
                <w:lang w:val="sr-Cyrl-BA"/>
              </w:rPr>
              <w:t>Ostvarene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investicije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poslovnih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subjekata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registrovanih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teritoriji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Republike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Srpske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nova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stalna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sredstva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prema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namjeni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investicija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,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2011.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godini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iznose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1 214 664 000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.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teritoriji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Republike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Srpske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uloženo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je 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1 203 670 000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(99,1%),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dok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teritoriji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Federacije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BiH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Brčko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Distrikta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BiH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uloženo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10 994 000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KM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(0,9%).</w:t>
            </w:r>
          </w:p>
          <w:p w:rsidR="00CF0EA0" w:rsidRPr="005E13DF" w:rsidRDefault="00CF0EA0" w:rsidP="00CF20D0">
            <w:pPr>
              <w:tabs>
                <w:tab w:val="left" w:pos="1134"/>
              </w:tabs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</w:p>
          <w:p w:rsidR="00CF0EA0" w:rsidRPr="005E13DF" w:rsidRDefault="00585DEF" w:rsidP="00CF20D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strukturi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investicionih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ulaganja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nova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stalna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sredstva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teritoriji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Republike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Srpske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prema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namjeni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najviše</w:t>
            </w:r>
            <w:r w:rsidR="00C549FD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učestvuju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Građevinarstvo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21,1%,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Prerađivačka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industrija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14,5%,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Saobraćaj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,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skladištenje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i</w:t>
            </w:r>
            <w:r w:rsidR="00CF0EA0" w:rsidRPr="005E13DF"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i/>
                <w:sz w:val="18"/>
                <w:szCs w:val="18"/>
                <w:lang w:val="sr-Cyrl-BA"/>
              </w:rPr>
              <w:t>komunikacije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  <w:lang w:val="sr-Cyrl-BA"/>
              </w:rPr>
              <w:t>sa</w:t>
            </w:r>
            <w:r w:rsidR="00CF0EA0" w:rsidRPr="005E13DF">
              <w:rPr>
                <w:rFonts w:ascii="Tahoma" w:hAnsi="Tahoma" w:cs="Tahoma"/>
                <w:sz w:val="18"/>
                <w:szCs w:val="18"/>
                <w:lang w:val="sr-Cyrl-BA"/>
              </w:rPr>
              <w:t xml:space="preserve"> 13,5%.</w:t>
            </w: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  <w:p w:rsidR="00CF0EA0" w:rsidRPr="005E13DF" w:rsidRDefault="00CF0EA0" w:rsidP="00CF20D0">
            <w:pPr>
              <w:jc w:val="both"/>
              <w:rPr>
                <w:rFonts w:ascii="Tahoma" w:hAnsi="Tahoma" w:cs="Tahoma"/>
                <w:b/>
                <w:i/>
                <w:sz w:val="18"/>
                <w:szCs w:val="18"/>
              </w:rPr>
            </w:pPr>
          </w:p>
        </w:tc>
      </w:tr>
    </w:tbl>
    <w:p w:rsidR="00CF0EA0" w:rsidRPr="005E13DF" w:rsidRDefault="00CF0EA0" w:rsidP="00CF0EA0">
      <w:pPr>
        <w:ind w:left="-142"/>
        <w:rPr>
          <w:rFonts w:ascii="Tahoma" w:hAnsi="Tahoma" w:cs="Tahoma"/>
          <w:sz w:val="24"/>
          <w:szCs w:val="24"/>
        </w:rPr>
      </w:pPr>
    </w:p>
    <w:p w:rsidR="00CF0EA0" w:rsidRPr="005E13DF" w:rsidRDefault="00CF0EA0" w:rsidP="00CF0EA0">
      <w:pPr>
        <w:ind w:left="-142"/>
        <w:rPr>
          <w:rFonts w:ascii="Tahoma" w:hAnsi="Tahoma" w:cs="Tahoma"/>
          <w:sz w:val="24"/>
          <w:szCs w:val="24"/>
        </w:rPr>
      </w:pPr>
    </w:p>
    <w:p w:rsidR="00CF0EA0" w:rsidRPr="005E13DF" w:rsidRDefault="00CF0EA0" w:rsidP="00CF0EA0">
      <w:pPr>
        <w:rPr>
          <w:rFonts w:ascii="Tahoma" w:hAnsi="Tahoma" w:cs="Tahoma"/>
          <w:sz w:val="24"/>
          <w:szCs w:val="24"/>
        </w:rPr>
      </w:pPr>
    </w:p>
    <w:p w:rsidR="00F02C01" w:rsidRPr="005E13DF" w:rsidRDefault="00F02C01">
      <w:pPr>
        <w:rPr>
          <w:rFonts w:ascii="Tahoma" w:hAnsi="Tahoma" w:cs="Tahoma"/>
          <w:b/>
          <w:sz w:val="28"/>
          <w:szCs w:val="28"/>
          <w:lang w:val="sr-Cyrl-CS"/>
        </w:rPr>
      </w:pPr>
      <w:r w:rsidRPr="005E13DF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5E13DF" w:rsidRPr="005E13DF" w:rsidRDefault="00585DEF" w:rsidP="005E13DF">
      <w:pPr>
        <w:jc w:val="both"/>
        <w:rPr>
          <w:rFonts w:ascii="Tahoma" w:hAnsi="Tahoma" w:cs="Tahoma"/>
          <w:lang w:val="sr-Cyrl-CS"/>
        </w:rPr>
      </w:pPr>
      <w:r>
        <w:rPr>
          <w:rFonts w:ascii="Tahoma" w:hAnsi="Tahoma" w:cs="Tahoma"/>
          <w:b/>
          <w:sz w:val="28"/>
          <w:szCs w:val="28"/>
          <w:lang w:val="sr-Cyrl-CS"/>
        </w:rPr>
        <w:lastRenderedPageBreak/>
        <w:t>Prosječn</w:t>
      </w:r>
      <w:r>
        <w:rPr>
          <w:rFonts w:ascii="Tahoma" w:hAnsi="Tahoma" w:cs="Tahoma"/>
          <w:b/>
          <w:sz w:val="28"/>
          <w:szCs w:val="28"/>
          <w:lang w:val="ru-RU"/>
        </w:rPr>
        <w:t>a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neto</w:t>
      </w:r>
      <w:r w:rsidR="005E13DF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plata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junu</w:t>
      </w:r>
      <w:r w:rsidR="005E13DF" w:rsidRPr="005E13DF">
        <w:rPr>
          <w:rFonts w:ascii="Tahoma" w:hAnsi="Tahoma" w:cs="Tahoma"/>
          <w:b/>
          <w:sz w:val="28"/>
          <w:szCs w:val="28"/>
          <w:lang w:val="sr-Cyrl-CS"/>
        </w:rPr>
        <w:t xml:space="preserve"> 818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KM</w:t>
      </w:r>
    </w:p>
    <w:p w:rsidR="005E13DF" w:rsidRPr="005E13DF" w:rsidRDefault="00585DEF" w:rsidP="005E13DF">
      <w:pPr>
        <w:tabs>
          <w:tab w:val="left" w:pos="4343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Najviša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prosječna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neto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plata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području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Finansijsko</w:t>
      </w:r>
      <w:r w:rsidR="005E13DF" w:rsidRPr="005E13DF">
        <w:rPr>
          <w:rFonts w:ascii="Tahoma" w:hAnsi="Tahoma" w:cs="Tahoma"/>
          <w:i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i/>
          <w:sz w:val="24"/>
          <w:szCs w:val="24"/>
          <w:lang w:val="ru-RU"/>
        </w:rPr>
        <w:t>posredovanje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1 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>275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KM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, </w:t>
      </w:r>
      <w:r>
        <w:rPr>
          <w:rFonts w:ascii="Tahoma" w:hAnsi="Tahoma" w:cs="Tahoma"/>
          <w:sz w:val="24"/>
          <w:szCs w:val="24"/>
          <w:lang w:val="sr-Cyrl-CS"/>
        </w:rPr>
        <w:t>najniža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u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sz w:val="24"/>
          <w:szCs w:val="24"/>
          <w:lang w:val="sr-Cyrl-CS"/>
        </w:rPr>
        <w:t>području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>
        <w:rPr>
          <w:rFonts w:ascii="Tahoma" w:hAnsi="Tahoma" w:cs="Tahoma"/>
          <w:i/>
          <w:sz w:val="24"/>
          <w:szCs w:val="24"/>
          <w:lang w:val="sr-Cyrl-CS"/>
        </w:rPr>
        <w:t>Ugostiteljstvo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573 </w:t>
      </w:r>
      <w:r>
        <w:rPr>
          <w:rFonts w:ascii="Tahoma" w:hAnsi="Tahoma" w:cs="Tahoma"/>
          <w:sz w:val="24"/>
          <w:szCs w:val="24"/>
          <w:lang w:val="sr-Cyrl-CS"/>
        </w:rPr>
        <w:t>KM</w:t>
      </w:r>
    </w:p>
    <w:p w:rsidR="005E13DF" w:rsidRPr="005E13DF" w:rsidRDefault="005E13DF" w:rsidP="005E13DF">
      <w:pPr>
        <w:tabs>
          <w:tab w:val="left" w:pos="4343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</w:p>
    <w:p w:rsidR="005E13DF" w:rsidRPr="005E13DF" w:rsidRDefault="00585DEF" w:rsidP="005E13D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/>
          <w:sz w:val="18"/>
          <w:szCs w:val="18"/>
          <w:lang w:val="sr-Cyrl-BA"/>
        </w:rPr>
        <w:t>P</w:t>
      </w:r>
      <w:r>
        <w:rPr>
          <w:rFonts w:ascii="Tahoma" w:hAnsi="Tahoma" w:cs="Tahoma"/>
          <w:b/>
          <w:sz w:val="18"/>
          <w:szCs w:val="18"/>
          <w:lang w:val="sr-Cyrl-CS"/>
        </w:rPr>
        <w:t>rosječna</w:t>
      </w:r>
      <w:r w:rsidR="005E13DF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mjesečna</w:t>
      </w:r>
      <w:r w:rsidR="005E13DF" w:rsidRPr="005E13DF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Republici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Srpskoj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5E13DF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5E13DF" w:rsidRPr="005E13DF">
        <w:rPr>
          <w:rFonts w:ascii="Tahoma" w:hAnsi="Tahoma" w:cs="Tahoma"/>
          <w:b/>
          <w:sz w:val="18"/>
          <w:szCs w:val="18"/>
          <w:lang w:val="sr-Cyrl-CS"/>
        </w:rPr>
        <w:t xml:space="preserve"> 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818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hr-HR"/>
        </w:rPr>
        <w:t>,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</w:t>
      </w:r>
      <w:r>
        <w:rPr>
          <w:rFonts w:ascii="Tahoma" w:hAnsi="Tahoma" w:cs="Tahoma"/>
          <w:sz w:val="18"/>
          <w:szCs w:val="18"/>
          <w:lang w:val="sr-Cyrl-CS"/>
        </w:rPr>
        <w:t>rosječna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mjesečna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bruto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1 348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. </w:t>
      </w:r>
    </w:p>
    <w:p w:rsidR="005E13DF" w:rsidRPr="005E13DF" w:rsidRDefault="005E13DF" w:rsidP="005E13D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5E13DF" w:rsidRPr="005E13DF" w:rsidRDefault="00585DEF" w:rsidP="005E13D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1,0%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0,3%.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veća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1,1%,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realno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0,1%.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mjesec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realno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1,5%.</w:t>
      </w:r>
    </w:p>
    <w:p w:rsidR="005E13DF" w:rsidRPr="005E13DF" w:rsidRDefault="005E13DF" w:rsidP="005E13D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E13DF" w:rsidRPr="005E13DF" w:rsidRDefault="00585DEF" w:rsidP="005E13DF">
      <w:pPr>
        <w:tabs>
          <w:tab w:val="left" w:pos="1134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Najviša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prosječna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posmatrano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djelatnosti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isplaćena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Finansijsko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posredovanje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1 275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najniža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Ugostiteljstvo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573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>.</w:t>
      </w:r>
    </w:p>
    <w:p w:rsidR="005E13DF" w:rsidRPr="005E13DF" w:rsidRDefault="005E13DF" w:rsidP="005E13DF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5E13DF" w:rsidRPr="005E13DF" w:rsidRDefault="00585DEF" w:rsidP="005E13DF">
      <w:pPr>
        <w:jc w:val="both"/>
        <w:rPr>
          <w:rFonts w:ascii="Tahoma" w:hAnsi="Tahoma" w:cs="Tahoma"/>
          <w:i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ajveći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rast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Poljoprivreda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CS"/>
        </w:rPr>
        <w:t>lov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šumarstvo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6,2%, </w:t>
      </w:r>
      <w:r>
        <w:rPr>
          <w:rFonts w:ascii="Tahoma" w:hAnsi="Tahoma" w:cs="Tahoma"/>
          <w:i/>
          <w:sz w:val="18"/>
          <w:szCs w:val="18"/>
          <w:lang w:val="sr-Cyrl-CS"/>
        </w:rPr>
        <w:t>Zdravstveni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socijalni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rad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3,0%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Građevinarstvo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2,3%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nominalno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plata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Obrazovanje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5,9%,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5,4%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Finansijsko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posredovanje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za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5,2%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>.</w:t>
      </w:r>
      <w:r w:rsidR="005E13DF" w:rsidRPr="005E13DF">
        <w:rPr>
          <w:rFonts w:ascii="Tahoma" w:hAnsi="Tahoma" w:cs="Tahoma"/>
          <w:i/>
          <w:sz w:val="18"/>
          <w:szCs w:val="18"/>
          <w:lang w:val="sr-Cyrl-CS"/>
        </w:rPr>
        <w:t xml:space="preserve">  </w:t>
      </w:r>
    </w:p>
    <w:p w:rsidR="0076086A" w:rsidRPr="005E13DF" w:rsidRDefault="0076086A" w:rsidP="00E16510">
      <w:pPr>
        <w:jc w:val="center"/>
        <w:rPr>
          <w:rFonts w:ascii="Tahoma" w:hAnsi="Tahoma" w:cs="Tahoma"/>
          <w:sz w:val="18"/>
          <w:szCs w:val="18"/>
        </w:rPr>
      </w:pPr>
    </w:p>
    <w:p w:rsidR="00AF1FE7" w:rsidRPr="005E13DF" w:rsidRDefault="005E13DF" w:rsidP="00E16510">
      <w:pPr>
        <w:jc w:val="center"/>
        <w:rPr>
          <w:rFonts w:ascii="Tahoma" w:hAnsi="Tahoma" w:cs="Tahoma"/>
          <w:sz w:val="18"/>
          <w:szCs w:val="18"/>
        </w:rPr>
      </w:pPr>
      <w:r w:rsidRPr="005E13DF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5096786" cy="3156668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B910C0" w:rsidRPr="00B910C0">
        <w:rPr>
          <w:rFonts w:ascii="Tahoma" w:hAnsi="Tahoma" w:cs="Tahoma"/>
          <w:noProof/>
          <w:sz w:val="1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5" type="#_x0000_t202" style="position:absolute;left:0;text-align:left;margin-left:129.5pt;margin-top:212.35pt;width:195.4pt;height:23.95pt;z-index:251669504;mso-position-horizontal-relative:text;mso-position-vertical-relative:text;mso-width-relative:margin;mso-height-relative:margin" strokecolor="white [3212]">
            <v:textbox>
              <w:txbxContent>
                <w:p w:rsidR="00EB450E" w:rsidRPr="00297CBC" w:rsidRDefault="005E13DF" w:rsidP="00860DF8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</w:t>
                  </w:r>
                  <w:r w:rsidR="00EB450E" w:rsidRPr="00297CBC">
                    <w:rPr>
                      <w:rFonts w:ascii="Tahoma" w:hAnsi="Tahoma" w:cs="Tahoma"/>
                      <w:sz w:val="18"/>
                      <w:szCs w:val="18"/>
                    </w:rPr>
                    <w:t>2011.</w:t>
                  </w:r>
                  <w:r w:rsidR="00EB450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               </w:t>
                  </w:r>
                  <w:r w:rsidR="00EB450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B910C0" w:rsidRPr="00B910C0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63" type="#_x0000_t202" style="position:absolute;left:0;text-align:left;margin-left:305.75pt;margin-top:11.25pt;width:41.05pt;height:27.75pt;z-index:251659264;mso-position-horizontal-relative:text;mso-position-vertical-relative:text;mso-width-relative:margin;mso-height-relative:margin" stroked="f">
            <v:textbox style="mso-next-textbox:#_x0000_s1063">
              <w:txbxContent>
                <w:p w:rsidR="00EB450E" w:rsidRPr="00B32263" w:rsidRDefault="00EB450E" w:rsidP="0018579D">
                  <w:pPr>
                    <w:jc w:val="right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  <w:t xml:space="preserve">        </w:t>
                  </w:r>
                  <w:r w:rsidRPr="00B32263">
                    <w:rPr>
                      <w:rFonts w:ascii="Tahoma" w:hAnsi="Tahoma" w:cs="Tahoma"/>
                      <w:sz w:val="18"/>
                      <w:szCs w:val="18"/>
                    </w:rPr>
                    <w:t>KM</w:t>
                  </w:r>
                </w:p>
              </w:txbxContent>
            </v:textbox>
          </v:shape>
        </w:pict>
      </w:r>
      <w:r w:rsidR="00B910C0" w:rsidRPr="00B910C0">
        <w:rPr>
          <w:rFonts w:ascii="Tahoma" w:hAnsi="Tahoma" w:cs="Tahoma"/>
          <w:noProof/>
          <w:sz w:val="18"/>
          <w:szCs w:val="18"/>
          <w:lang w:val="sr-Cyrl-CS" w:eastAsia="zh-TW"/>
        </w:rPr>
        <w:pict>
          <v:shape id="_x0000_s1074" type="#_x0000_t202" style="position:absolute;left:0;text-align:left;margin-left:69.8pt;margin-top:235.9pt;width:41.3pt;height:20pt;z-index:251667456;mso-height-percent:200;mso-position-horizontal-relative:text;mso-position-vertical-relative:text;mso-height-percent:200;mso-width-relative:margin;mso-height-relative:margin" strokecolor="white [3212]">
            <v:textbox style="mso-next-textbox:#_x0000_s1074;mso-fit-shape-to-text:t">
              <w:txbxContent>
                <w:p w:rsidR="00EB450E" w:rsidRPr="00860DF8" w:rsidRDefault="00EB450E" w:rsidP="00860DF8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CD0CCB" w:rsidRPr="005E13DF" w:rsidRDefault="00CD0CCB" w:rsidP="0029071F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5E0301" w:rsidRPr="005E13DF" w:rsidRDefault="00585DEF" w:rsidP="00B32263">
      <w:pPr>
        <w:jc w:val="center"/>
        <w:outlineLvl w:val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Grafikon</w:t>
      </w:r>
      <w:r w:rsidR="000328B8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CE24D5" w:rsidRPr="005E13DF">
        <w:rPr>
          <w:rFonts w:ascii="Tahoma" w:hAnsi="Tahoma" w:cs="Tahoma"/>
          <w:sz w:val="18"/>
          <w:szCs w:val="18"/>
          <w:lang w:val="sr-Cyrl-BA"/>
        </w:rPr>
        <w:t>1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>.</w:t>
      </w:r>
      <w:r w:rsidR="005E0301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ru-RU"/>
        </w:rPr>
        <w:t>rosječn</w:t>
      </w:r>
      <w:r w:rsidR="005E0301" w:rsidRPr="005E13DF">
        <w:rPr>
          <w:rFonts w:ascii="Tahoma" w:hAnsi="Tahoma" w:cs="Tahoma"/>
          <w:sz w:val="18"/>
          <w:szCs w:val="18"/>
        </w:rPr>
        <w:t>e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neto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plat</w:t>
      </w:r>
      <w:r w:rsidR="005E0301" w:rsidRPr="005E13DF">
        <w:rPr>
          <w:rFonts w:ascii="Tahoma" w:hAnsi="Tahoma" w:cs="Tahoma"/>
          <w:sz w:val="18"/>
          <w:szCs w:val="18"/>
        </w:rPr>
        <w:t>e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zaposlenih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5E0301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mjesecima</w:t>
      </w:r>
    </w:p>
    <w:p w:rsidR="0029071F" w:rsidRPr="005E13DF" w:rsidRDefault="0029071F" w:rsidP="00BF2682">
      <w:pPr>
        <w:ind w:left="-142"/>
        <w:outlineLvl w:val="0"/>
        <w:rPr>
          <w:rFonts w:ascii="Tahoma" w:hAnsi="Tahoma" w:cs="Tahoma"/>
          <w:sz w:val="16"/>
          <w:szCs w:val="16"/>
        </w:rPr>
      </w:pPr>
    </w:p>
    <w:p w:rsidR="00F02C01" w:rsidRPr="005E13DF" w:rsidRDefault="00F02C01">
      <w:pPr>
        <w:rPr>
          <w:rFonts w:ascii="Tahoma" w:hAnsi="Tahoma" w:cs="Tahoma"/>
          <w:b/>
          <w:sz w:val="28"/>
          <w:szCs w:val="28"/>
          <w:lang w:val="sr-Cyrl-CS"/>
        </w:rPr>
      </w:pPr>
      <w:r w:rsidRPr="005E13DF">
        <w:rPr>
          <w:rFonts w:ascii="Tahoma" w:hAnsi="Tahoma" w:cs="Tahoma"/>
          <w:b/>
          <w:sz w:val="28"/>
          <w:szCs w:val="28"/>
          <w:lang w:val="sr-Cyrl-CS"/>
        </w:rPr>
        <w:br w:type="page"/>
      </w:r>
    </w:p>
    <w:p w:rsidR="00E011F4" w:rsidRPr="005E13DF" w:rsidRDefault="00585DEF" w:rsidP="00CF0EA0">
      <w:pPr>
        <w:tabs>
          <w:tab w:val="left" w:pos="400"/>
        </w:tabs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sz w:val="28"/>
          <w:szCs w:val="28"/>
          <w:lang w:val="sr-Cyrl-CS"/>
        </w:rPr>
        <w:t>Ukupan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broj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zaposlenih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>, 3</w:t>
      </w:r>
      <w:r w:rsidR="00E011F4" w:rsidRPr="005E13DF">
        <w:rPr>
          <w:rFonts w:ascii="Tahoma" w:hAnsi="Tahoma" w:cs="Tahoma"/>
          <w:b/>
          <w:sz w:val="28"/>
          <w:szCs w:val="28"/>
        </w:rPr>
        <w:t>1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. </w:t>
      </w:r>
      <w:r>
        <w:rPr>
          <w:rFonts w:ascii="Tahoma" w:hAnsi="Tahoma" w:cs="Tahoma"/>
          <w:b/>
          <w:sz w:val="28"/>
          <w:szCs w:val="28"/>
          <w:lang w:val="sr-Cyrl-BA"/>
        </w:rPr>
        <w:t>mart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E011F4" w:rsidRPr="005E13DF">
        <w:rPr>
          <w:rFonts w:ascii="Tahoma" w:hAnsi="Tahoma" w:cs="Tahoma"/>
          <w:b/>
          <w:sz w:val="28"/>
          <w:szCs w:val="28"/>
        </w:rPr>
        <w:t>2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. </w:t>
      </w:r>
      <w:r>
        <w:rPr>
          <w:rFonts w:ascii="Tahoma" w:hAnsi="Tahoma" w:cs="Tahoma"/>
          <w:b/>
          <w:sz w:val="28"/>
          <w:szCs w:val="28"/>
          <w:lang w:val="sr-Cyrl-CS"/>
        </w:rPr>
        <w:t>godine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2</w:t>
      </w:r>
      <w:r w:rsidR="00E011F4" w:rsidRPr="005E13DF">
        <w:rPr>
          <w:rFonts w:ascii="Tahoma" w:hAnsi="Tahoma" w:cs="Tahoma"/>
          <w:b/>
          <w:sz w:val="28"/>
          <w:szCs w:val="28"/>
        </w:rPr>
        <w:t>37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5</w:t>
      </w:r>
      <w:r w:rsidR="00E011F4" w:rsidRPr="005E13DF">
        <w:rPr>
          <w:rFonts w:ascii="Tahoma" w:hAnsi="Tahoma" w:cs="Tahoma"/>
          <w:b/>
          <w:sz w:val="28"/>
          <w:szCs w:val="28"/>
        </w:rPr>
        <w:t>20</w:t>
      </w:r>
    </w:p>
    <w:p w:rsidR="00E011F4" w:rsidRPr="005E13DF" w:rsidRDefault="00E011F4" w:rsidP="00E011F4">
      <w:pPr>
        <w:jc w:val="both"/>
        <w:rPr>
          <w:rFonts w:ascii="Tahoma" w:hAnsi="Tahoma" w:cs="Tahoma"/>
          <w:b/>
          <w:sz w:val="18"/>
          <w:szCs w:val="18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ru-RU"/>
        </w:rPr>
        <w:t>Prema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podacima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statistike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rada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ukupan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broj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zaposlenih</w:t>
      </w:r>
      <w:r w:rsidR="00E011F4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martu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201</w:t>
      </w:r>
      <w:r w:rsidR="00E011F4" w:rsidRPr="005E13DF">
        <w:rPr>
          <w:rFonts w:ascii="Tahoma" w:hAnsi="Tahoma" w:cs="Tahoma"/>
          <w:sz w:val="18"/>
          <w:szCs w:val="18"/>
        </w:rPr>
        <w:t>2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</w:t>
      </w:r>
      <w:r w:rsidR="00E011F4" w:rsidRPr="005E13DF">
        <w:rPr>
          <w:rFonts w:ascii="Tahoma" w:hAnsi="Tahoma" w:cs="Tahoma"/>
          <w:sz w:val="18"/>
          <w:szCs w:val="18"/>
        </w:rPr>
        <w:t>37</w:t>
      </w:r>
      <w:r w:rsidR="001368CA" w:rsidRPr="005E13DF">
        <w:rPr>
          <w:rFonts w:ascii="Tahoma" w:hAnsi="Tahoma" w:cs="Tahoma"/>
          <w:sz w:val="18"/>
          <w:szCs w:val="18"/>
        </w:rPr>
        <w:t xml:space="preserve"> </w:t>
      </w:r>
      <w:r w:rsidR="0055760C" w:rsidRPr="005E13DF">
        <w:rPr>
          <w:rFonts w:ascii="Tahoma" w:hAnsi="Tahoma" w:cs="Tahoma"/>
          <w:sz w:val="18"/>
          <w:szCs w:val="18"/>
        </w:rPr>
        <w:t>520</w:t>
      </w:r>
      <w:r w:rsidR="00E011F4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septembar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20</w:t>
      </w:r>
      <w:r w:rsidR="00E011F4" w:rsidRPr="005E13DF">
        <w:rPr>
          <w:rFonts w:ascii="Tahoma" w:hAnsi="Tahoma" w:cs="Tahoma"/>
          <w:sz w:val="18"/>
          <w:szCs w:val="18"/>
        </w:rPr>
        <w:t>11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manje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</w:rPr>
        <w:t>0,2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%, 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mart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2011.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1,0%.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ru-RU"/>
        </w:rPr>
        <w:t>Posmatrano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područjima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djelatnosti</w:t>
      </w:r>
      <w:r w:rsidR="0055760C" w:rsidRPr="005E13DF">
        <w:rPr>
          <w:rFonts w:ascii="Tahoma" w:hAnsi="Tahoma" w:cs="Tahoma"/>
          <w:sz w:val="18"/>
          <w:szCs w:val="18"/>
          <w:lang w:val="ru-RU"/>
        </w:rPr>
        <w:t>,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smanjenja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broja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zaposlenih</w:t>
      </w:r>
      <w:r w:rsidR="0055760C" w:rsidRPr="005E13DF">
        <w:rPr>
          <w:rFonts w:ascii="Tahoma" w:hAnsi="Tahoma" w:cs="Tahoma"/>
          <w:sz w:val="18"/>
          <w:szCs w:val="18"/>
          <w:lang w:val="ru-RU"/>
        </w:rPr>
        <w:t>,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došlo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5760C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područjima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Građevinarstvo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8,2%, </w:t>
      </w:r>
      <w:r>
        <w:rPr>
          <w:rFonts w:ascii="Tahoma" w:hAnsi="Tahoma" w:cs="Tahoma"/>
          <w:sz w:val="18"/>
          <w:szCs w:val="18"/>
          <w:lang w:val="sr-Cyrl-BA"/>
        </w:rPr>
        <w:t>Poljoprivreda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lov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šumarstvo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3</w:t>
      </w:r>
      <w:r w:rsidR="0055760C" w:rsidRPr="005E13DF">
        <w:rPr>
          <w:rFonts w:ascii="Tahoma" w:hAnsi="Tahoma" w:cs="Tahoma"/>
          <w:sz w:val="18"/>
          <w:szCs w:val="18"/>
        </w:rPr>
        <w:t>,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0%, </w:t>
      </w:r>
      <w:r>
        <w:rPr>
          <w:rFonts w:ascii="Tahoma" w:hAnsi="Tahoma" w:cs="Tahoma"/>
          <w:sz w:val="18"/>
          <w:szCs w:val="18"/>
          <w:lang w:val="sr-Cyrl-BA"/>
        </w:rPr>
        <w:t>Vađenje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rude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kamena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2,2%, </w:t>
      </w:r>
      <w:r>
        <w:rPr>
          <w:rFonts w:ascii="Tahoma" w:hAnsi="Tahoma" w:cs="Tahoma"/>
          <w:sz w:val="18"/>
          <w:szCs w:val="18"/>
          <w:lang w:val="ru-RU"/>
        </w:rPr>
        <w:t>Trgovina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veliko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malo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1,8%</w:t>
      </w:r>
      <w:r w:rsidR="0055760C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Prerađivačka</w:t>
      </w:r>
      <w:r w:rsidR="0055760C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industrija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1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,1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>%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,.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  <w:lang w:val="sr-Cyrl-BA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broja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zaposlenih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područjima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: </w:t>
      </w:r>
      <w:r>
        <w:rPr>
          <w:rFonts w:ascii="Tahoma" w:hAnsi="Tahoma" w:cs="Tahoma"/>
          <w:sz w:val="18"/>
          <w:szCs w:val="18"/>
          <w:lang w:val="sr-Cyrl-BA"/>
        </w:rPr>
        <w:t>Finansijsko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posredovanje</w:t>
      </w:r>
      <w:r w:rsidR="0013420E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13420E" w:rsidRPr="005E13DF">
        <w:rPr>
          <w:rFonts w:ascii="Tahoma" w:hAnsi="Tahoma" w:cs="Tahoma"/>
          <w:sz w:val="18"/>
          <w:szCs w:val="18"/>
          <w:lang w:val="sr-Cyrl-BA"/>
        </w:rPr>
        <w:t xml:space="preserve">7,1%, </w:t>
      </w:r>
      <w:r>
        <w:rPr>
          <w:rFonts w:ascii="Tahoma" w:hAnsi="Tahoma" w:cs="Tahoma"/>
          <w:sz w:val="18"/>
          <w:szCs w:val="18"/>
          <w:lang w:val="sr-Cyrl-BA"/>
        </w:rPr>
        <w:t>Obrazovanje</w:t>
      </w:r>
      <w:r w:rsidR="0013420E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13420E" w:rsidRPr="005E13DF">
        <w:rPr>
          <w:rFonts w:ascii="Tahoma" w:hAnsi="Tahoma" w:cs="Tahoma"/>
          <w:sz w:val="18"/>
          <w:szCs w:val="18"/>
          <w:lang w:val="sr-Cyrl-BA"/>
        </w:rPr>
        <w:t>3,0%,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Zdravstveni</w:t>
      </w:r>
      <w:r w:rsidR="001368CA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1368CA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socijalni</w:t>
      </w:r>
      <w:r w:rsidR="001368CA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rad</w:t>
      </w:r>
      <w:r w:rsidR="001368CA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836650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1368CA" w:rsidRPr="005E13DF">
        <w:rPr>
          <w:rFonts w:ascii="Tahoma" w:hAnsi="Tahoma" w:cs="Tahoma"/>
          <w:sz w:val="18"/>
          <w:szCs w:val="18"/>
          <w:lang w:val="ru-RU"/>
        </w:rPr>
        <w:t>2,5</w:t>
      </w:r>
      <w:r w:rsidR="00E011F4" w:rsidRPr="005E13DF">
        <w:rPr>
          <w:rFonts w:ascii="Tahoma" w:hAnsi="Tahoma" w:cs="Tahoma"/>
          <w:sz w:val="18"/>
          <w:szCs w:val="18"/>
          <w:lang w:val="ru-RU"/>
        </w:rPr>
        <w:t>%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Ostale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javne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komunalne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društvene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socijalne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uslužne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djelatnosti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2,5%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Državna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uprava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odbrana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obavezno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socijalno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osiguranje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836650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1,9%.</w:t>
      </w:r>
    </w:p>
    <w:p w:rsidR="00E011F4" w:rsidRPr="005E13DF" w:rsidRDefault="00E011F4" w:rsidP="00270368">
      <w:pPr>
        <w:jc w:val="both"/>
        <w:rPr>
          <w:rFonts w:ascii="Tahoma" w:hAnsi="Tahoma" w:cs="Tahoma"/>
          <w:b/>
          <w:sz w:val="28"/>
          <w:szCs w:val="28"/>
        </w:rPr>
      </w:pPr>
    </w:p>
    <w:p w:rsidR="00E011F4" w:rsidRPr="005E13DF" w:rsidRDefault="00585DEF" w:rsidP="00E011F4">
      <w:pPr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  <w:lang w:val="sr-Cyrl-BA"/>
        </w:rPr>
        <w:t>Mjesečna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junu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2012. </w:t>
      </w:r>
      <w:r>
        <w:rPr>
          <w:rFonts w:ascii="Tahoma" w:hAnsi="Tahoma" w:cs="Tahoma"/>
          <w:b/>
          <w:sz w:val="28"/>
          <w:szCs w:val="28"/>
          <w:lang w:val="sr-Cyrl-BA"/>
        </w:rPr>
        <w:t>godine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-0,7%</w:t>
      </w:r>
    </w:p>
    <w:p w:rsidR="00E011F4" w:rsidRPr="005E13DF" w:rsidRDefault="00585DEF" w:rsidP="00E011F4">
      <w:pPr>
        <w:rPr>
          <w:rFonts w:ascii="Tahoma" w:hAnsi="Tahoma" w:cs="Tahoma"/>
          <w:b/>
          <w:sz w:val="28"/>
          <w:szCs w:val="28"/>
          <w:lang w:val="sr-Cyrl-BA"/>
        </w:rPr>
      </w:pPr>
      <w:r>
        <w:rPr>
          <w:rFonts w:ascii="Tahoma" w:hAnsi="Tahoma" w:cs="Tahoma"/>
          <w:b/>
          <w:sz w:val="28"/>
          <w:szCs w:val="28"/>
          <w:lang w:val="sr-Cyrl-BA"/>
        </w:rPr>
        <w:t>Godišnja</w:t>
      </w:r>
      <w:r w:rsidR="001B4D57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inflacija</w:t>
      </w:r>
      <w:r w:rsidR="001B4D57" w:rsidRPr="005E13DF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jun</w:t>
      </w:r>
      <w:r w:rsidR="001B4D57" w:rsidRPr="005E13DF">
        <w:rPr>
          <w:rFonts w:ascii="Tahoma" w:hAnsi="Tahoma" w:cs="Tahoma"/>
          <w:b/>
          <w:sz w:val="28"/>
          <w:szCs w:val="28"/>
          <w:lang w:val="sr-Cyrl-BA"/>
        </w:rPr>
        <w:t xml:space="preserve"> 2012/</w:t>
      </w:r>
      <w:r>
        <w:rPr>
          <w:rFonts w:ascii="Tahoma" w:hAnsi="Tahoma" w:cs="Tahoma"/>
          <w:b/>
          <w:sz w:val="28"/>
          <w:szCs w:val="28"/>
          <w:lang w:val="sr-Cyrl-BA"/>
        </w:rPr>
        <w:t>jun</w:t>
      </w:r>
      <w:r w:rsidR="00E011F4" w:rsidRPr="005E13DF">
        <w:rPr>
          <w:rFonts w:ascii="Tahoma" w:hAnsi="Tahoma" w:cs="Tahoma"/>
          <w:b/>
          <w:sz w:val="28"/>
          <w:szCs w:val="28"/>
          <w:lang w:val="sr-Cyrl-BA"/>
        </w:rPr>
        <w:t xml:space="preserve"> 2011) 1,6%</w:t>
      </w:r>
    </w:p>
    <w:p w:rsidR="00E011F4" w:rsidRPr="005E13DF" w:rsidRDefault="00E011F4" w:rsidP="00E011F4">
      <w:pPr>
        <w:ind w:left="-142"/>
        <w:jc w:val="both"/>
        <w:outlineLvl w:val="0"/>
        <w:rPr>
          <w:rFonts w:ascii="Tahoma" w:hAnsi="Tahoma" w:cs="Tahoma"/>
          <w:lang w:val="sr-Cyrl-CS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mjerene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indeksom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potrošačkih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maj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0,7%.</w:t>
      </w:r>
    </w:p>
    <w:p w:rsidR="00E011F4" w:rsidRPr="005E13DF" w:rsidRDefault="00585DEF" w:rsidP="00E011F4">
      <w:pPr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Ovakvo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kretanje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rezultiralo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ovaj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pojeftinjenjem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svih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vrsta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goriva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što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</w:t>
      </w:r>
      <w:r>
        <w:rPr>
          <w:rFonts w:ascii="Tahoma" w:hAnsi="Tahoma" w:cs="Tahoma"/>
          <w:sz w:val="18"/>
          <w:szCs w:val="18"/>
          <w:lang w:val="sr-Cyrl-BA"/>
        </w:rPr>
        <w:t>uzrokovalo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pad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2,2%, </w:t>
      </w:r>
      <w:r>
        <w:rPr>
          <w:rFonts w:ascii="Tahoma" w:hAnsi="Tahoma" w:cs="Tahoma"/>
          <w:sz w:val="18"/>
          <w:szCs w:val="18"/>
          <w:lang w:val="sr-Cyrl-BA"/>
        </w:rPr>
        <w:t>te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pojeftinjenjem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pojedinih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prehrambenih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tako</w:t>
      </w:r>
      <w:r w:rsidR="004A504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grupi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Hrana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>1,0%.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</w:rPr>
      </w:pPr>
    </w:p>
    <w:p w:rsidR="00E011F4" w:rsidRPr="005E13DF" w:rsidRDefault="00585DEF" w:rsidP="00E011F4">
      <w:pPr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jedino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podgrupama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Voće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1,0%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Meso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0,5%.</w:t>
      </w:r>
      <w:r w:rsidR="00E011F4" w:rsidRPr="005E13DF">
        <w:rPr>
          <w:rFonts w:ascii="Tahoma" w:eastAsia="Calibri" w:hAnsi="Tahoma" w:cs="Tahoma"/>
          <w:i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Voće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dalji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citrusnog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voća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(</w:t>
      </w:r>
      <w:r>
        <w:rPr>
          <w:rFonts w:ascii="Tahoma" w:eastAsia="Calibri" w:hAnsi="Tahoma" w:cs="Tahoma"/>
          <w:sz w:val="18"/>
          <w:szCs w:val="18"/>
          <w:lang w:val="sr-Cyrl-BA"/>
        </w:rPr>
        <w:t>narandža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limun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grejpfurt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mandarina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limun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kivi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), </w:t>
      </w:r>
      <w:r>
        <w:rPr>
          <w:rFonts w:ascii="Tahoma" w:eastAsia="Calibri" w:hAnsi="Tahoma" w:cs="Tahoma"/>
          <w:sz w:val="18"/>
          <w:szCs w:val="18"/>
          <w:lang w:val="sr-Cyrl-BA"/>
        </w:rPr>
        <w:t>kao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jabuka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krušaka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dok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podgrupi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Meso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povećanje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svinjetine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1,1%, </w:t>
      </w:r>
      <w:r>
        <w:rPr>
          <w:rFonts w:ascii="Tahoma" w:eastAsia="Calibri" w:hAnsi="Tahoma" w:cs="Tahoma"/>
          <w:sz w:val="18"/>
          <w:szCs w:val="18"/>
          <w:lang w:val="sr-Cyrl-BA"/>
        </w:rPr>
        <w:t>teletine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0,6%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junetine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0,3%.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smanjenje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grupi</w:t>
      </w:r>
      <w:r w:rsidR="00E011F4" w:rsidRPr="005E13DF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Hrana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smanjenje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povrća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9,3%, </w:t>
      </w:r>
      <w:r>
        <w:rPr>
          <w:rFonts w:ascii="Tahoma" w:eastAsia="Calibri" w:hAnsi="Tahoma" w:cs="Tahoma"/>
          <w:sz w:val="18"/>
          <w:szCs w:val="18"/>
          <w:lang w:val="sr-Cyrl-BA"/>
        </w:rPr>
        <w:t>zatim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riže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1,6%, </w:t>
      </w:r>
      <w:r>
        <w:rPr>
          <w:rFonts w:ascii="Tahoma" w:eastAsia="Calibri" w:hAnsi="Tahoma" w:cs="Tahoma"/>
          <w:sz w:val="18"/>
          <w:szCs w:val="18"/>
          <w:lang w:val="sr-Cyrl-BA"/>
        </w:rPr>
        <w:t>zamrznutog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lisnatog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tijesta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1,1%,</w:t>
      </w:r>
      <w:r w:rsidR="00E011F4" w:rsidRPr="005E13DF">
        <w:rPr>
          <w:rFonts w:ascii="Tahoma" w:eastAsia="Calibri" w:hAnsi="Tahoma" w:cs="Tahoma"/>
          <w:sz w:val="18"/>
          <w:szCs w:val="18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riječne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morske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ribe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1,1%, </w:t>
      </w:r>
      <w:r>
        <w:rPr>
          <w:rFonts w:ascii="Tahoma" w:eastAsia="Calibri" w:hAnsi="Tahoma" w:cs="Tahoma"/>
          <w:sz w:val="18"/>
          <w:szCs w:val="18"/>
          <w:lang w:val="sr-Cyrl-BA"/>
        </w:rPr>
        <w:t>svježeg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mlijeka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2,4%, </w:t>
      </w:r>
      <w:r>
        <w:rPr>
          <w:rFonts w:ascii="Tahoma" w:eastAsia="Calibri" w:hAnsi="Tahoma" w:cs="Tahoma"/>
          <w:sz w:val="18"/>
          <w:szCs w:val="18"/>
          <w:lang w:val="sr-Cyrl-BA"/>
        </w:rPr>
        <w:t>mliječnih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1,3%, </w:t>
      </w:r>
      <w:r>
        <w:rPr>
          <w:rFonts w:ascii="Tahoma" w:eastAsia="Calibri" w:hAnsi="Tahoma" w:cs="Tahoma"/>
          <w:sz w:val="18"/>
          <w:szCs w:val="18"/>
          <w:lang w:val="sr-Cyrl-BA"/>
        </w:rPr>
        <w:t>kokošijih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jaja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4,7%,</w:t>
      </w:r>
      <w:r>
        <w:rPr>
          <w:rFonts w:ascii="Tahoma" w:eastAsia="Calibri" w:hAnsi="Tahoma" w:cs="Tahoma"/>
          <w:sz w:val="18"/>
          <w:szCs w:val="18"/>
          <w:lang w:val="sr-Cyrl-BA"/>
        </w:rPr>
        <w:t>šećera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2,8%, </w:t>
      </w:r>
      <w:r>
        <w:rPr>
          <w:rFonts w:ascii="Tahoma" w:eastAsia="Calibri" w:hAnsi="Tahoma" w:cs="Tahoma"/>
          <w:sz w:val="18"/>
          <w:szCs w:val="18"/>
          <w:lang w:val="sr-Cyrl-BA"/>
        </w:rPr>
        <w:t>dodatka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jelima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(</w:t>
      </w:r>
      <w:r>
        <w:rPr>
          <w:rFonts w:ascii="Tahoma" w:eastAsia="Calibri" w:hAnsi="Tahoma" w:cs="Tahoma"/>
          <w:sz w:val="18"/>
          <w:szCs w:val="18"/>
          <w:lang w:val="sr-Cyrl-BA"/>
        </w:rPr>
        <w:t>vegeta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sz w:val="18"/>
          <w:szCs w:val="18"/>
          <w:lang w:val="sr-Cyrl-BA"/>
        </w:rPr>
        <w:t>začin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...) 3,7%, </w:t>
      </w:r>
      <w:r>
        <w:rPr>
          <w:rFonts w:ascii="Tahoma" w:eastAsia="Calibri" w:hAnsi="Tahoma" w:cs="Tahoma"/>
          <w:sz w:val="18"/>
          <w:szCs w:val="18"/>
          <w:lang w:val="sr-Cyrl-BA"/>
        </w:rPr>
        <w:t>konditorskih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1,2%. </w:t>
      </w:r>
      <w:r>
        <w:rPr>
          <w:rFonts w:ascii="Tahoma" w:eastAsia="Calibri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smanjenje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Bezalkoholnih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0,5% </w:t>
      </w:r>
      <w:r>
        <w:rPr>
          <w:rFonts w:ascii="Tahoma" w:eastAsia="Calibri" w:hAnsi="Tahoma" w:cs="Tahoma"/>
          <w:sz w:val="18"/>
          <w:szCs w:val="18"/>
          <w:lang w:val="sr-Cyrl-BA"/>
        </w:rPr>
        <w:t>najviše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uticalo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smanjenje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kafe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1,0%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kakaa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0,4%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>.</w:t>
      </w:r>
    </w:p>
    <w:p w:rsidR="00E011F4" w:rsidRPr="005E13DF" w:rsidRDefault="00E011F4" w:rsidP="00E011F4">
      <w:pPr>
        <w:jc w:val="both"/>
        <w:rPr>
          <w:rFonts w:ascii="Tahoma" w:eastAsia="Calibri" w:hAnsi="Tahoma" w:cs="Tahoma"/>
          <w:sz w:val="18"/>
          <w:szCs w:val="18"/>
        </w:rPr>
      </w:pPr>
    </w:p>
    <w:p w:rsidR="00E011F4" w:rsidRPr="005E13DF" w:rsidRDefault="00585DEF" w:rsidP="00E011F4">
      <w:pPr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Odjeljak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Stanovanje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bilježi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pad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0,4%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to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zbog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nižih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plina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5,4%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lož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ulja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</w:t>
      </w:r>
      <w:r w:rsidR="004A504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>4,6%.</w:t>
      </w:r>
    </w:p>
    <w:p w:rsidR="00E011F4" w:rsidRPr="005E13DF" w:rsidRDefault="00585DEF" w:rsidP="00E011F4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3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12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.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4A504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Ostala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dobra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usluge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>.</w:t>
      </w: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 0,2% </w:t>
      </w:r>
      <w:r>
        <w:rPr>
          <w:rFonts w:ascii="Tahoma" w:hAnsi="Tahoma" w:cs="Tahoma"/>
          <w:sz w:val="18"/>
          <w:szCs w:val="18"/>
          <w:lang w:val="sr-Cyrl-BA"/>
        </w:rPr>
        <w:t>koji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nastao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viših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malih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aparata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raznih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dodataka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0,6%, </w:t>
      </w:r>
      <w:r>
        <w:rPr>
          <w:rFonts w:ascii="Tahoma" w:hAnsi="Tahoma" w:cs="Tahoma"/>
          <w:sz w:val="18"/>
          <w:szCs w:val="18"/>
          <w:lang w:val="sr-Cyrl-BA"/>
        </w:rPr>
        <w:t>kao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čišćenje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održavanje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kuće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0,4%.</w:t>
      </w: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0,1%, </w:t>
      </w:r>
      <w:r>
        <w:rPr>
          <w:rFonts w:ascii="Tahoma" w:hAnsi="Tahoma" w:cs="Tahoma"/>
          <w:sz w:val="18"/>
          <w:szCs w:val="18"/>
          <w:lang w:val="sr-Cyrl-BA"/>
        </w:rPr>
        <w:t>usljed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povećanja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0,9%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piva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0,3%.</w:t>
      </w: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odjeljku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Ostala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dobra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usluge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0,1%, </w:t>
      </w:r>
      <w:r>
        <w:rPr>
          <w:rFonts w:ascii="Tahoma" w:hAnsi="Tahoma" w:cs="Tahoma"/>
          <w:sz w:val="18"/>
          <w:szCs w:val="18"/>
          <w:lang w:val="sr-Cyrl-BA"/>
        </w:rPr>
        <w:t>zbog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povećanja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cijena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nekih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njegu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(</w:t>
      </w:r>
      <w:r>
        <w:rPr>
          <w:rFonts w:ascii="Tahoma" w:hAnsi="Tahoma" w:cs="Tahoma"/>
          <w:sz w:val="18"/>
          <w:szCs w:val="18"/>
          <w:lang w:val="sr-Cyrl-BA"/>
        </w:rPr>
        <w:t>toalet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papir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lakovi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farbe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sl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.)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1,0%.</w:t>
      </w:r>
    </w:p>
    <w:p w:rsidR="00E011F4" w:rsidRPr="005E13DF" w:rsidRDefault="00E011F4" w:rsidP="00E011F4">
      <w:pPr>
        <w:jc w:val="both"/>
        <w:rPr>
          <w:rFonts w:ascii="Tahoma" w:eastAsia="Calibri" w:hAnsi="Tahoma" w:cs="Tahoma"/>
          <w:sz w:val="18"/>
          <w:szCs w:val="18"/>
        </w:rPr>
      </w:pPr>
    </w:p>
    <w:p w:rsidR="00E011F4" w:rsidRPr="005E13DF" w:rsidRDefault="00585DEF" w:rsidP="00E011F4">
      <w:pPr>
        <w:jc w:val="both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odjeljcima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Zdravstvo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Komunikacije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Rekreacija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kultura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Obrazovanje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,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Restorani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eastAsia="Calibri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i/>
          <w:sz w:val="18"/>
          <w:szCs w:val="18"/>
          <w:lang w:val="sr-Cyrl-BA"/>
        </w:rPr>
        <w:t>hoteli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cijene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se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prosjeku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nisu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>
        <w:rPr>
          <w:rFonts w:ascii="Tahoma" w:eastAsia="Calibri" w:hAnsi="Tahoma" w:cs="Tahoma"/>
          <w:sz w:val="18"/>
          <w:szCs w:val="18"/>
          <w:lang w:val="sr-Cyrl-BA"/>
        </w:rPr>
        <w:t>mijenjale</w:t>
      </w:r>
      <w:r w:rsidR="00E011F4" w:rsidRPr="005E13DF">
        <w:rPr>
          <w:rFonts w:ascii="Tahoma" w:eastAsia="Calibri" w:hAnsi="Tahoma" w:cs="Tahoma"/>
          <w:sz w:val="18"/>
          <w:szCs w:val="18"/>
          <w:lang w:val="sr-Cyrl-BA"/>
        </w:rPr>
        <w:t xml:space="preserve">. </w:t>
      </w:r>
    </w:p>
    <w:p w:rsidR="00E011F4" w:rsidRPr="005E13DF" w:rsidRDefault="00585DEF" w:rsidP="00E011F4">
      <w:pPr>
        <w:spacing w:after="200" w:line="276" w:lineRule="auto"/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usluga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koji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koriste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ličnu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Republici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Srpskoj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1,6%.</w:t>
      </w:r>
    </w:p>
    <w:p w:rsidR="00E011F4" w:rsidRPr="005E13DF" w:rsidRDefault="00585DEF" w:rsidP="00E011F4">
      <w:pPr>
        <w:jc w:val="both"/>
        <w:rPr>
          <w:rFonts w:ascii="Tahoma" w:hAnsi="Tahoma" w:cs="Tahoma"/>
          <w:b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Posmatrano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odjeljcima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namjene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potrošnje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2011.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najviši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rast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zabilježen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Alkoholna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duvan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8,4%,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zatim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slijede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odjeljaka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: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Komunikacije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4,2%,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Prevoz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4,0%,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Namještaj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pokućstvo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1,8%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>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Stanovanje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1,2%,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Hrana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bezalkoholna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pića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0,8%,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Ostala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dobra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usluge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0,8%,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Zdravstvo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0,3%,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Restorani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hoteli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0,2%,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Obrazovanje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0,1%.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Rekracija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kultura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0,6%,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indeks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odjeljka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Odjeća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BA"/>
        </w:rPr>
        <w:t>obuća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niži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3,9%.</w:t>
      </w:r>
    </w:p>
    <w:p w:rsidR="00CF0EA0" w:rsidRPr="005E13DF" w:rsidRDefault="00CF0EA0" w:rsidP="00CF0EA0">
      <w:pPr>
        <w:rPr>
          <w:rFonts w:ascii="Tahoma" w:hAnsi="Tahoma" w:cs="Tahoma"/>
          <w:b/>
        </w:rPr>
      </w:pPr>
    </w:p>
    <w:p w:rsidR="00CF0EA0" w:rsidRPr="005E13DF" w:rsidRDefault="00CF0EA0" w:rsidP="00CF0EA0">
      <w:pPr>
        <w:rPr>
          <w:rFonts w:ascii="Tahoma" w:hAnsi="Tahoma" w:cs="Tahoma"/>
          <w:b/>
        </w:rPr>
      </w:pPr>
    </w:p>
    <w:p w:rsidR="00E011F4" w:rsidRPr="005E13DF" w:rsidRDefault="00585DEF" w:rsidP="00CF0EA0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sz w:val="28"/>
          <w:szCs w:val="28"/>
          <w:lang w:val="sr-Cyrl-CS"/>
        </w:rPr>
        <w:t>Cijene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proizvođača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industrijskih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proizvoda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(</w:t>
      </w:r>
      <w:r w:rsidR="00E011F4" w:rsidRPr="005E13DF">
        <w:rPr>
          <w:rFonts w:ascii="Tahoma" w:hAnsi="Tahoma" w:cs="Tahoma"/>
          <w:b/>
          <w:sz w:val="28"/>
          <w:szCs w:val="28"/>
        </w:rPr>
        <w:t>V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>I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>2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>/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>V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>2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>)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u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prosjeku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CS"/>
        </w:rPr>
        <w:t>više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 xml:space="preserve"> 0,</w:t>
      </w:r>
      <w:r w:rsidR="00E011F4" w:rsidRPr="005E13DF">
        <w:rPr>
          <w:rFonts w:ascii="Tahoma" w:hAnsi="Tahoma" w:cs="Tahoma"/>
          <w:b/>
          <w:sz w:val="28"/>
          <w:szCs w:val="28"/>
          <w:lang w:val="sr-Latn-CS"/>
        </w:rPr>
        <w:t>3</w:t>
      </w:r>
      <w:r w:rsidR="00E011F4" w:rsidRPr="005E13DF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E011F4" w:rsidRPr="005E13DF" w:rsidRDefault="00E011F4" w:rsidP="00E011F4">
      <w:pPr>
        <w:jc w:val="both"/>
        <w:rPr>
          <w:rFonts w:ascii="Tahoma" w:hAnsi="Tahoma" w:cs="Tahoma"/>
          <w:lang w:val="sr-Cyrl-CS"/>
        </w:rPr>
      </w:pPr>
    </w:p>
    <w:p w:rsidR="00E011F4" w:rsidRPr="005E13DF" w:rsidRDefault="00585DEF" w:rsidP="00E011F4">
      <w:pPr>
        <w:ind w:right="68"/>
        <w:jc w:val="both"/>
        <w:rPr>
          <w:rFonts w:ascii="Tahoma" w:hAnsi="Tahoma" w:cs="Tahoma"/>
          <w:sz w:val="18"/>
          <w:szCs w:val="18"/>
          <w:lang w:val="sr-Latn-CS"/>
        </w:rPr>
      </w:pPr>
      <w:r>
        <w:rPr>
          <w:rFonts w:ascii="Tahoma" w:hAnsi="Tahoma" w:cs="Tahoma"/>
          <w:sz w:val="18"/>
          <w:szCs w:val="18"/>
          <w:lang w:val="sr-Cyrl-CS"/>
        </w:rPr>
        <w:t>Cijen</w:t>
      </w:r>
      <w:r w:rsidR="00E011F4" w:rsidRPr="005E13DF">
        <w:rPr>
          <w:rFonts w:ascii="Tahoma" w:hAnsi="Tahoma" w:cs="Tahoma"/>
          <w:sz w:val="18"/>
          <w:szCs w:val="18"/>
        </w:rPr>
        <w:t>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proizvođač</w:t>
      </w:r>
      <w:r w:rsidR="00E011F4" w:rsidRPr="005E13DF">
        <w:rPr>
          <w:rFonts w:ascii="Tahoma" w:hAnsi="Tahoma" w:cs="Tahoma"/>
          <w:sz w:val="18"/>
          <w:szCs w:val="18"/>
        </w:rPr>
        <w:t xml:space="preserve">a </w:t>
      </w:r>
      <w:r>
        <w:rPr>
          <w:rFonts w:ascii="Tahoma" w:hAnsi="Tahoma" w:cs="Tahoma"/>
          <w:sz w:val="18"/>
          <w:szCs w:val="18"/>
          <w:lang w:val="sr-Cyrl-CS"/>
        </w:rPr>
        <w:t>industrijskih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201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.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0,3%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0,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4%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decembar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0,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3%.</w:t>
      </w:r>
    </w:p>
    <w:p w:rsidR="00E011F4" w:rsidRPr="005E13DF" w:rsidRDefault="00E011F4" w:rsidP="00E011F4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011F4" w:rsidRPr="005E13DF" w:rsidRDefault="00585DEF" w:rsidP="00E011F4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201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 xml:space="preserve"> 0,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5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%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0,3%,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0,2%.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0,1%,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.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  <w:lang w:val="sr-Latn-CS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osmatrano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</w:t>
      </w:r>
      <w:r>
        <w:rPr>
          <w:rFonts w:ascii="Tahoma" w:hAnsi="Tahoma" w:cs="Tahoma"/>
          <w:sz w:val="18"/>
          <w:szCs w:val="18"/>
          <w:lang w:val="hr-HR"/>
        </w:rPr>
        <w:t>o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namjeni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potrošnje</w:t>
      </w:r>
      <w:r w:rsidR="004A504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2011.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1,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6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netrajnih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1,1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trajnih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široku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potrošnju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0,3%,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kapitalnih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0,1%,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intermedijarnih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Latn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niže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1,</w:t>
      </w:r>
      <w:r w:rsidR="00E011F4" w:rsidRPr="005E13DF">
        <w:rPr>
          <w:rFonts w:ascii="Tahoma" w:hAnsi="Tahoma" w:cs="Tahoma"/>
          <w:sz w:val="18"/>
          <w:szCs w:val="18"/>
          <w:lang w:val="sr-Latn-CS"/>
        </w:rPr>
        <w:t>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%. 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011F4" w:rsidRPr="005E13DF" w:rsidRDefault="00585DEF" w:rsidP="00E011F4">
      <w:pPr>
        <w:ind w:right="68"/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hr-HR"/>
        </w:rPr>
        <w:t>Posmatrano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po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područjima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industrijske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proizvodnje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(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PRODCOM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)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C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)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vađenje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ruda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kamena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maj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201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.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1,7%,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(</w:t>
      </w:r>
      <w:r>
        <w:rPr>
          <w:rFonts w:ascii="Tahoma" w:hAnsi="Tahoma" w:cs="Tahoma"/>
          <w:sz w:val="18"/>
          <w:szCs w:val="18"/>
          <w:lang w:val="sr-Cyrl-CS"/>
        </w:rPr>
        <w:t>D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) </w:t>
      </w:r>
      <w:r>
        <w:rPr>
          <w:rFonts w:ascii="Tahoma" w:hAnsi="Tahoma" w:cs="Tahoma"/>
          <w:sz w:val="18"/>
          <w:szCs w:val="18"/>
          <w:lang w:val="sr-Cyrl-CS"/>
        </w:rPr>
        <w:t>prerađivačka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0,2%</w:t>
      </w:r>
      <w:r w:rsidR="00E011F4" w:rsidRPr="005E13DF">
        <w:rPr>
          <w:rFonts w:ascii="Tahoma" w:hAnsi="Tahoma" w:cs="Tahoma"/>
          <w:sz w:val="18"/>
          <w:szCs w:val="18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sr-Cyrl-CS"/>
        </w:rPr>
        <w:t>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)  </w:t>
      </w:r>
      <w:r>
        <w:rPr>
          <w:rFonts w:ascii="Tahoma" w:hAnsi="Tahoma" w:cs="Tahoma"/>
          <w:sz w:val="18"/>
          <w:szCs w:val="18"/>
          <w:lang w:val="sr-Cyrl-CS"/>
        </w:rPr>
        <w:t>proizvodnja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snabdijevanje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električnom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energijom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gasom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vodom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ostale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nivou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.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  <w:lang w:val="sr-Cyrl-CS"/>
        </w:rPr>
      </w:pPr>
    </w:p>
    <w:p w:rsidR="00E011F4" w:rsidRPr="005E13DF" w:rsidRDefault="00585DEF" w:rsidP="00E011F4">
      <w:pPr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  <w:lang w:val="bs-Cyrl-BA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12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hr-HR"/>
        </w:rPr>
        <w:t>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odnosu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 xml:space="preserve"> </w:t>
      </w:r>
      <w:r>
        <w:rPr>
          <w:rFonts w:ascii="Tahoma" w:hAnsi="Tahoma" w:cs="Tahoma"/>
          <w:sz w:val="18"/>
          <w:szCs w:val="18"/>
          <w:lang w:val="hr-HR"/>
        </w:rPr>
        <w:t>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20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11</w:t>
      </w:r>
      <w:r w:rsidR="00E011F4" w:rsidRPr="005E13DF">
        <w:rPr>
          <w:rFonts w:ascii="Tahoma" w:hAnsi="Tahoma" w:cs="Tahoma"/>
          <w:sz w:val="18"/>
          <w:szCs w:val="18"/>
          <w:lang w:val="hr-HR"/>
        </w:rPr>
        <w:t>.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>,</w:t>
      </w:r>
      <w:r w:rsidR="00E011F4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</w:t>
      </w:r>
      <w:r w:rsidR="00E011F4" w:rsidRPr="005E13DF">
        <w:rPr>
          <w:rFonts w:ascii="Tahoma" w:hAnsi="Tahoma" w:cs="Tahoma"/>
          <w:sz w:val="18"/>
          <w:szCs w:val="18"/>
        </w:rPr>
        <w:t>j</w:t>
      </w:r>
      <w:r>
        <w:rPr>
          <w:rFonts w:ascii="Tahoma" w:hAnsi="Tahoma" w:cs="Tahoma"/>
          <w:sz w:val="18"/>
          <w:szCs w:val="18"/>
          <w:lang w:val="sr-Cyrl-CS"/>
        </w:rPr>
        <w:t>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E011F4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E011F4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prosjeku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su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više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3,1%, </w:t>
      </w:r>
      <w:r>
        <w:rPr>
          <w:rFonts w:ascii="Tahoma" w:hAnsi="Tahoma" w:cs="Tahoma"/>
          <w:bCs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Proizvodnja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snabdijevanje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električnom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energijom</w:t>
      </w:r>
      <w:r w:rsidR="00E011F4" w:rsidRPr="005E13DF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gasom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vodom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0,5%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cijene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područja</w:t>
      </w:r>
      <w:r w:rsidR="00E011F4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Prerađivačka</w:t>
      </w:r>
      <w:r w:rsidR="00E011F4" w:rsidRPr="005E13DF">
        <w:rPr>
          <w:rFonts w:ascii="Tahoma" w:hAnsi="Tahoma" w:cs="Tahoma"/>
          <w:bCs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i/>
          <w:sz w:val="18"/>
          <w:szCs w:val="18"/>
          <w:lang w:val="sr-Cyrl-CS"/>
        </w:rPr>
        <w:t>industrija</w:t>
      </w:r>
      <w:r w:rsidR="00E011F4" w:rsidRPr="005E13DF">
        <w:rPr>
          <w:rFonts w:ascii="Tahoma" w:hAnsi="Tahoma" w:cs="Tahoma"/>
          <w:bCs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bCs/>
          <w:sz w:val="18"/>
          <w:szCs w:val="18"/>
          <w:lang w:val="sr-Cyrl-CS"/>
        </w:rPr>
        <w:t>za</w:t>
      </w:r>
      <w:r w:rsidR="00E011F4" w:rsidRPr="005E13DF">
        <w:rPr>
          <w:rFonts w:ascii="Tahoma" w:hAnsi="Tahoma" w:cs="Tahoma"/>
          <w:bCs/>
          <w:sz w:val="18"/>
          <w:szCs w:val="18"/>
          <w:lang w:val="sr-Cyrl-CS"/>
        </w:rPr>
        <w:t xml:space="preserve"> 0,1%. </w:t>
      </w:r>
    </w:p>
    <w:p w:rsidR="00E011F4" w:rsidRPr="005E13DF" w:rsidRDefault="00E011F4" w:rsidP="00E011F4">
      <w:pPr>
        <w:jc w:val="both"/>
        <w:rPr>
          <w:rFonts w:ascii="Tahoma" w:hAnsi="Tahoma" w:cs="Tahoma"/>
          <w:sz w:val="18"/>
          <w:szCs w:val="18"/>
        </w:rPr>
      </w:pPr>
    </w:p>
    <w:p w:rsidR="00F61225" w:rsidRPr="005E13DF" w:rsidRDefault="00585DEF" w:rsidP="00652E2C">
      <w:pPr>
        <w:rPr>
          <w:rFonts w:ascii="Tahoma" w:hAnsi="Tahoma" w:cs="Tahoma"/>
          <w:b/>
          <w:spacing w:val="-4"/>
          <w:sz w:val="28"/>
          <w:szCs w:val="28"/>
          <w:lang w:val="sr-Cyrl-CS"/>
        </w:rPr>
      </w:pPr>
      <w:r>
        <w:rPr>
          <w:rFonts w:ascii="Tahoma" w:hAnsi="Tahoma" w:cs="Tahoma"/>
          <w:b/>
          <w:spacing w:val="-4"/>
          <w:sz w:val="28"/>
          <w:szCs w:val="28"/>
          <w:lang w:val="sr-Cyrl-CS"/>
        </w:rPr>
        <w:t>Indeks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sr-Cyrl-CS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industrijske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pacing w:val="-4"/>
          <w:sz w:val="28"/>
          <w:szCs w:val="28"/>
          <w:lang w:val="ru-RU"/>
        </w:rPr>
        <w:t>proizvodnje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 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="00F61225" w:rsidRPr="005E13DF">
        <w:rPr>
          <w:rFonts w:ascii="Tahoma" w:hAnsi="Tahoma" w:cs="Tahoma"/>
          <w:b/>
          <w:spacing w:val="-4"/>
          <w:sz w:val="28"/>
          <w:szCs w:val="28"/>
        </w:rPr>
        <w:t>VI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</w:rPr>
        <w:sym w:font="Symbol" w:char="F0C6"/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11.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manji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</w:t>
      </w:r>
      <w:r w:rsidR="00F61225" w:rsidRPr="005E13DF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>,6</w:t>
      </w:r>
      <w:r w:rsidR="00F61225" w:rsidRPr="005E13DF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F61225" w:rsidRPr="005E13DF" w:rsidRDefault="00585DEF" w:rsidP="00F61225">
      <w:pPr>
        <w:tabs>
          <w:tab w:val="left" w:pos="0"/>
          <w:tab w:val="left" w:pos="1100"/>
        </w:tabs>
        <w:jc w:val="both"/>
        <w:rPr>
          <w:rFonts w:ascii="Tahoma" w:hAnsi="Tahoma" w:cs="Tahoma"/>
          <w:sz w:val="24"/>
          <w:szCs w:val="24"/>
          <w:lang w:val="sr-Cyrl-CS"/>
        </w:rPr>
      </w:pPr>
      <w:r>
        <w:rPr>
          <w:rFonts w:ascii="Tahoma" w:hAnsi="Tahoma" w:cs="Tahoma"/>
          <w:sz w:val="24"/>
          <w:szCs w:val="24"/>
          <w:lang w:val="ru-RU"/>
        </w:rPr>
        <w:t>Indeks</w:t>
      </w:r>
      <w:r w:rsidR="00F61225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zaposlenih</w:t>
      </w:r>
      <w:r w:rsidR="00F61225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u</w:t>
      </w:r>
      <w:r w:rsidR="00F61225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industriji</w:t>
      </w:r>
      <w:r w:rsidR="00F61225" w:rsidRPr="005E13DF">
        <w:rPr>
          <w:rFonts w:ascii="Tahoma" w:hAnsi="Tahoma" w:cs="Tahoma"/>
          <w:sz w:val="24"/>
          <w:szCs w:val="24"/>
          <w:lang w:val="sr-Latn-BA"/>
        </w:rPr>
        <w:t xml:space="preserve"> (</w:t>
      </w:r>
      <w:r w:rsidR="00F61225" w:rsidRPr="005E13DF">
        <w:rPr>
          <w:rFonts w:ascii="Tahoma" w:hAnsi="Tahoma" w:cs="Tahoma"/>
          <w:sz w:val="24"/>
          <w:szCs w:val="24"/>
          <w:lang w:val="sr-Cyrl-CS"/>
        </w:rPr>
        <w:t>V</w:t>
      </w:r>
      <w:r w:rsidR="00F61225" w:rsidRPr="005E13DF">
        <w:rPr>
          <w:rFonts w:ascii="Tahoma" w:hAnsi="Tahoma" w:cs="Tahoma"/>
          <w:sz w:val="24"/>
          <w:szCs w:val="24"/>
        </w:rPr>
        <w:t>I</w:t>
      </w:r>
      <w:r w:rsidR="00F61225" w:rsidRPr="005E13DF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="00F61225" w:rsidRPr="005E13DF">
        <w:rPr>
          <w:rFonts w:ascii="Tahoma" w:hAnsi="Tahoma" w:cs="Tahoma"/>
          <w:sz w:val="24"/>
          <w:szCs w:val="24"/>
          <w:lang w:val="sr-Cyrl-CS"/>
        </w:rPr>
        <w:t>12</w:t>
      </w:r>
      <w:r w:rsidR="00F61225" w:rsidRPr="005E13DF">
        <w:rPr>
          <w:rFonts w:ascii="Tahoma" w:hAnsi="Tahoma" w:cs="Tahoma"/>
          <w:sz w:val="24"/>
          <w:szCs w:val="24"/>
          <w:lang w:val="sr-Latn-BA"/>
        </w:rPr>
        <w:t>/</w:t>
      </w:r>
      <w:r w:rsidR="00F61225" w:rsidRPr="005E13DF">
        <w:rPr>
          <w:rFonts w:ascii="Tahoma" w:hAnsi="Tahoma" w:cs="Tahoma"/>
          <w:bCs/>
          <w:sz w:val="24"/>
          <w:szCs w:val="24"/>
        </w:rPr>
        <w:sym w:font="Symbol" w:char="F0C6"/>
      </w:r>
      <w:r w:rsidR="00F61225" w:rsidRPr="005E13DF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="00F61225" w:rsidRPr="005E13DF">
        <w:rPr>
          <w:rFonts w:ascii="Tahoma" w:hAnsi="Tahoma" w:cs="Tahoma"/>
          <w:bCs/>
          <w:sz w:val="24"/>
          <w:szCs w:val="24"/>
          <w:lang w:val="ru-RU"/>
        </w:rPr>
        <w:t>2011.</w:t>
      </w:r>
      <w:r w:rsidR="00F61225" w:rsidRPr="005E13DF">
        <w:rPr>
          <w:rFonts w:ascii="Tahoma" w:hAnsi="Tahoma" w:cs="Tahoma"/>
          <w:bCs/>
          <w:sz w:val="24"/>
          <w:szCs w:val="24"/>
          <w:lang w:val="hr-HR"/>
        </w:rPr>
        <w:t>)</w:t>
      </w:r>
      <w:r w:rsidR="00F61225" w:rsidRPr="005E13DF">
        <w:rPr>
          <w:rFonts w:ascii="Tahoma" w:hAnsi="Tahoma" w:cs="Tahoma"/>
          <w:sz w:val="24"/>
          <w:szCs w:val="24"/>
          <w:lang w:val="sr-Latn-BA"/>
        </w:rPr>
        <w:t xml:space="preserve"> </w:t>
      </w:r>
      <w:r>
        <w:rPr>
          <w:rFonts w:ascii="Tahoma" w:hAnsi="Tahoma" w:cs="Tahoma"/>
          <w:sz w:val="24"/>
          <w:szCs w:val="24"/>
          <w:lang w:val="ru-RU"/>
        </w:rPr>
        <w:t>manji</w:t>
      </w:r>
      <w:r w:rsidR="00F61225" w:rsidRPr="005E13DF">
        <w:rPr>
          <w:rFonts w:ascii="Tahoma" w:hAnsi="Tahoma" w:cs="Tahoma"/>
          <w:sz w:val="24"/>
          <w:szCs w:val="24"/>
          <w:lang w:val="ru-RU"/>
        </w:rPr>
        <w:t xml:space="preserve"> </w:t>
      </w:r>
      <w:r w:rsidR="00F61225" w:rsidRPr="005E13DF">
        <w:rPr>
          <w:rFonts w:ascii="Tahoma" w:hAnsi="Tahoma" w:cs="Tahoma"/>
          <w:sz w:val="24"/>
          <w:szCs w:val="24"/>
          <w:lang w:val="sr-Cyrl-CS"/>
        </w:rPr>
        <w:t>1</w:t>
      </w:r>
      <w:r w:rsidR="00F61225" w:rsidRPr="005E13DF">
        <w:rPr>
          <w:rFonts w:ascii="Tahoma" w:hAnsi="Tahoma" w:cs="Tahoma"/>
          <w:sz w:val="24"/>
          <w:szCs w:val="24"/>
          <w:lang w:val="sr-Cyrl-BA"/>
        </w:rPr>
        <w:t>,2</w:t>
      </w:r>
      <w:r w:rsidR="00F61225" w:rsidRPr="005E13DF">
        <w:rPr>
          <w:rFonts w:ascii="Tahoma" w:hAnsi="Tahoma" w:cs="Tahoma"/>
          <w:sz w:val="24"/>
          <w:szCs w:val="24"/>
          <w:lang w:val="ru-RU"/>
        </w:rPr>
        <w:t>%</w:t>
      </w:r>
    </w:p>
    <w:p w:rsidR="00F61225" w:rsidRPr="005E13DF" w:rsidRDefault="00F61225" w:rsidP="00F61225">
      <w:pPr>
        <w:tabs>
          <w:tab w:val="left" w:pos="0"/>
          <w:tab w:val="left" w:pos="1100"/>
        </w:tabs>
        <w:jc w:val="both"/>
        <w:rPr>
          <w:lang w:val="sr-Cyrl-CS"/>
        </w:rPr>
      </w:pPr>
    </w:p>
    <w:p w:rsidR="00F61225" w:rsidRPr="005E13DF" w:rsidRDefault="00585DEF" w:rsidP="00F61225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sr-Cyrl-CS"/>
        </w:rPr>
        <w:t>I</w:t>
      </w:r>
      <w:r>
        <w:rPr>
          <w:rFonts w:ascii="Tahoma" w:hAnsi="Tahoma" w:cs="Tahoma"/>
          <w:b/>
          <w:sz w:val="18"/>
          <w:szCs w:val="18"/>
          <w:lang w:val="ru-RU"/>
        </w:rPr>
        <w:t>ndustrijska</w:t>
      </w:r>
      <w:r w:rsidR="00F61225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proizvodnja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prosječnu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mjesečnu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proizvodnju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2011.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1,6%,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5,6%,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veća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4,2%.</w:t>
      </w:r>
    </w:p>
    <w:p w:rsidR="00F61225" w:rsidRPr="005E13DF" w:rsidRDefault="00F61225" w:rsidP="00F61225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F61225" w:rsidRPr="005E13DF" w:rsidRDefault="00585DEF" w:rsidP="00F61225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BA"/>
        </w:rPr>
        <w:t>Industrijska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proizvodnja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januar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- </w:t>
      </w:r>
      <w:r>
        <w:rPr>
          <w:rFonts w:ascii="Tahoma" w:hAnsi="Tahoma" w:cs="Tahoma"/>
          <w:sz w:val="18"/>
          <w:szCs w:val="18"/>
          <w:lang w:val="sr-Cyrl-BA"/>
        </w:rPr>
        <w:t>jun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isti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manja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za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4,2%.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istom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periodu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1,3%,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2,7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6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,8%. </w:t>
      </w:r>
    </w:p>
    <w:p w:rsidR="00F61225" w:rsidRPr="005E13DF" w:rsidRDefault="00F61225" w:rsidP="00F61225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F61225" w:rsidRPr="005E13DF" w:rsidRDefault="00585DEF" w:rsidP="00F61225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Posmatrano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ekonomskoj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namjeni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industrijskih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– </w:t>
      </w:r>
      <w:r>
        <w:rPr>
          <w:rFonts w:ascii="Tahoma" w:hAnsi="Tahoma" w:cs="Tahoma"/>
          <w:sz w:val="18"/>
          <w:szCs w:val="18"/>
          <w:lang w:val="ru-RU"/>
        </w:rPr>
        <w:t>jun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prošle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negativna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energije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1,5%, </w:t>
      </w:r>
      <w:r>
        <w:rPr>
          <w:rFonts w:ascii="Tahoma" w:hAnsi="Tahoma" w:cs="Tahoma"/>
          <w:sz w:val="18"/>
          <w:szCs w:val="18"/>
          <w:lang w:val="ru-RU"/>
        </w:rPr>
        <w:t>netrajnih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8,3%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intermedijarnih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8,7%,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dok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kapitalnih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proizvoda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zabilježena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pozitivna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7,6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%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trajnih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proizvoda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pozitivna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stopa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promjene</w:t>
      </w:r>
      <w:r w:rsidR="00F61225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0,4%.</w:t>
      </w:r>
    </w:p>
    <w:p w:rsidR="00F61225" w:rsidRPr="005E13DF" w:rsidRDefault="00F61225" w:rsidP="00F61225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ru-RU"/>
        </w:rPr>
      </w:pPr>
    </w:p>
    <w:p w:rsidR="00F61225" w:rsidRPr="005E13DF" w:rsidRDefault="00585DEF" w:rsidP="00F61225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b/>
          <w:sz w:val="18"/>
          <w:szCs w:val="18"/>
          <w:lang w:val="ru-RU"/>
        </w:rPr>
        <w:t>Broj</w:t>
      </w:r>
      <w:r w:rsidR="00F61225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zaposlenih</w:t>
      </w:r>
      <w:r w:rsidR="00F61225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b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/>
          <w:sz w:val="18"/>
          <w:szCs w:val="18"/>
          <w:lang w:val="ru-RU"/>
        </w:rPr>
        <w:t>industriji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junu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maj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manji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0,4%.</w:t>
      </w:r>
    </w:p>
    <w:p w:rsidR="00F61225" w:rsidRPr="005E13DF" w:rsidRDefault="00F61225" w:rsidP="00F61225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F61225" w:rsidRPr="005E13DF" w:rsidRDefault="00585DEF" w:rsidP="00F61225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sr-Cyrl-CS"/>
        </w:rPr>
        <w:t>Ukupan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industriji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- </w:t>
      </w:r>
      <w:r>
        <w:rPr>
          <w:rFonts w:ascii="Tahoma" w:hAnsi="Tahoma" w:cs="Tahoma"/>
          <w:sz w:val="18"/>
          <w:szCs w:val="18"/>
          <w:lang w:val="ru-RU"/>
        </w:rPr>
        <w:t>jun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poređenju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istim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periodom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prošle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manji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je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1,9%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pri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čemu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Proizvodnja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snabdijevanje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električnom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energijom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zabilježen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pad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broja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zaposlenih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0,3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%,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Vađenje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ruda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i</w:t>
      </w:r>
      <w:r w:rsidR="00F61225" w:rsidRPr="005E13DF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i/>
          <w:sz w:val="18"/>
          <w:szCs w:val="18"/>
          <w:lang w:val="sr-Cyrl-CS"/>
        </w:rPr>
        <w:t>kamena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pad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F61225" w:rsidRPr="005E13DF">
        <w:rPr>
          <w:rFonts w:ascii="Tahoma" w:hAnsi="Tahoma" w:cs="Tahoma"/>
          <w:sz w:val="18"/>
          <w:szCs w:val="18"/>
          <w:lang w:val="sr-Cyrl-CS"/>
        </w:rPr>
        <w:t xml:space="preserve"> 1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,1%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području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Prerađivačka</w:t>
      </w:r>
      <w:r w:rsidR="00F61225" w:rsidRPr="005E13DF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/>
          <w:sz w:val="18"/>
          <w:szCs w:val="18"/>
          <w:lang w:val="ru-RU"/>
        </w:rPr>
        <w:t>industrija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pad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F61225" w:rsidRPr="005E13DF">
        <w:rPr>
          <w:rFonts w:ascii="Tahoma" w:hAnsi="Tahoma" w:cs="Tahoma"/>
          <w:sz w:val="18"/>
          <w:szCs w:val="18"/>
          <w:lang w:val="ru-RU"/>
        </w:rPr>
        <w:t xml:space="preserve"> 2,2%. </w:t>
      </w:r>
    </w:p>
    <w:p w:rsidR="00DB54DA" w:rsidRPr="005E13DF" w:rsidRDefault="00DB54DA" w:rsidP="00EB450E">
      <w:pPr>
        <w:rPr>
          <w:rFonts w:ascii="Tahoma" w:hAnsi="Tahoma" w:cs="Tahoma"/>
          <w:b/>
          <w:sz w:val="28"/>
          <w:szCs w:val="28"/>
          <w:lang w:val="bs-Cyrl-BA"/>
        </w:rPr>
      </w:pPr>
    </w:p>
    <w:p w:rsidR="00652E2C" w:rsidRPr="005E13DF" w:rsidRDefault="00652E2C">
      <w:pPr>
        <w:rPr>
          <w:rFonts w:ascii="Tahoma" w:hAnsi="Tahoma" w:cs="Tahoma"/>
          <w:b/>
          <w:sz w:val="28"/>
          <w:szCs w:val="28"/>
          <w:lang w:val="bs-Cyrl-BA"/>
        </w:rPr>
      </w:pPr>
      <w:r w:rsidRPr="005E13DF">
        <w:rPr>
          <w:rFonts w:ascii="Tahoma" w:hAnsi="Tahoma" w:cs="Tahoma"/>
          <w:b/>
          <w:sz w:val="28"/>
          <w:szCs w:val="28"/>
          <w:lang w:val="bs-Cyrl-BA"/>
        </w:rPr>
        <w:br w:type="page"/>
      </w: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ru-RU"/>
        </w:rPr>
      </w:pPr>
      <w:r>
        <w:rPr>
          <w:rFonts w:ascii="Tahoma" w:hAnsi="Tahoma" w:cs="Tahoma"/>
          <w:b/>
          <w:sz w:val="28"/>
          <w:szCs w:val="28"/>
          <w:lang w:val="bs-Cyrl-BA"/>
        </w:rPr>
        <w:t>P</w:t>
      </w:r>
      <w:r>
        <w:rPr>
          <w:rFonts w:ascii="Tahoma" w:hAnsi="Tahoma" w:cs="Tahoma"/>
          <w:b/>
          <w:sz w:val="28"/>
          <w:szCs w:val="28"/>
          <w:lang w:val="ru-RU"/>
        </w:rPr>
        <w:t>okrivenost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uvoza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 </w:t>
      </w:r>
      <w:r>
        <w:rPr>
          <w:rFonts w:ascii="Tahoma" w:hAnsi="Tahoma" w:cs="Tahoma"/>
          <w:b/>
          <w:sz w:val="28"/>
          <w:szCs w:val="28"/>
          <w:lang w:val="ru-RU"/>
        </w:rPr>
        <w:t>izvozom</w:t>
      </w:r>
      <w:r w:rsidR="005E13DF" w:rsidRPr="005E13DF">
        <w:rPr>
          <w:rFonts w:ascii="Tahoma" w:hAnsi="Tahoma" w:cs="Tahoma"/>
          <w:b/>
          <w:sz w:val="28"/>
          <w:szCs w:val="28"/>
          <w:lang w:val="sr-Cyrl-BA"/>
        </w:rPr>
        <w:t xml:space="preserve"> (</w:t>
      </w:r>
      <w:r>
        <w:rPr>
          <w:rFonts w:ascii="Tahoma" w:hAnsi="Tahoma" w:cs="Tahoma"/>
          <w:b/>
          <w:sz w:val="28"/>
          <w:szCs w:val="28"/>
          <w:lang w:val="sr-Cyrl-BA"/>
        </w:rPr>
        <w:t>u</w:t>
      </w:r>
      <w:r w:rsidR="005E13DF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>
        <w:rPr>
          <w:rFonts w:ascii="Tahoma" w:hAnsi="Tahoma" w:cs="Tahoma"/>
          <w:b/>
          <w:sz w:val="28"/>
          <w:szCs w:val="28"/>
          <w:lang w:val="sr-Cyrl-BA"/>
        </w:rPr>
        <w:t>periodu</w:t>
      </w:r>
      <w:r w:rsidR="005E13DF" w:rsidRPr="005E13DF">
        <w:rPr>
          <w:rFonts w:ascii="Tahoma" w:hAnsi="Tahoma" w:cs="Tahoma"/>
          <w:b/>
          <w:sz w:val="28"/>
          <w:szCs w:val="28"/>
          <w:lang w:val="sr-Cyrl-BA"/>
        </w:rPr>
        <w:t xml:space="preserve"> </w:t>
      </w:r>
      <w:r w:rsidR="005E13DF" w:rsidRPr="005E13DF">
        <w:rPr>
          <w:rFonts w:ascii="Tahoma" w:hAnsi="Tahoma" w:cs="Tahoma"/>
          <w:b/>
          <w:sz w:val="28"/>
          <w:szCs w:val="28"/>
        </w:rPr>
        <w:t>I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>–</w:t>
      </w:r>
      <w:r w:rsidR="005E13DF" w:rsidRPr="005E13DF">
        <w:rPr>
          <w:rFonts w:ascii="Tahoma" w:hAnsi="Tahoma" w:cs="Tahoma"/>
          <w:b/>
          <w:sz w:val="28"/>
          <w:szCs w:val="28"/>
        </w:rPr>
        <w:t>VI</w:t>
      </w:r>
      <w:r w:rsidR="005E13DF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>201</w:t>
      </w:r>
      <w:r w:rsidR="005E13DF" w:rsidRPr="005E13DF">
        <w:rPr>
          <w:rFonts w:ascii="Tahoma" w:hAnsi="Tahoma" w:cs="Tahoma"/>
          <w:b/>
          <w:sz w:val="28"/>
          <w:szCs w:val="28"/>
          <w:lang w:val="sr-Cyrl-CS"/>
        </w:rPr>
        <w:t>2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>.</w:t>
      </w:r>
      <w:r w:rsidR="005E13DF" w:rsidRPr="005E13DF">
        <w:rPr>
          <w:rFonts w:ascii="Tahoma" w:hAnsi="Tahoma" w:cs="Tahoma"/>
          <w:b/>
          <w:sz w:val="28"/>
          <w:szCs w:val="28"/>
          <w:lang w:val="sr-Cyrl-BA"/>
        </w:rPr>
        <w:t>)</w:t>
      </w:r>
      <w:r w:rsidR="005E13DF" w:rsidRPr="005E13DF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5E13DF" w:rsidRPr="005E13DF">
        <w:rPr>
          <w:rFonts w:ascii="Tahoma" w:hAnsi="Tahoma" w:cs="Tahoma"/>
          <w:b/>
          <w:sz w:val="28"/>
          <w:szCs w:val="28"/>
          <w:lang w:val="hr-HR"/>
        </w:rPr>
        <w:t>55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>,</w:t>
      </w:r>
      <w:r w:rsidR="005E13DF" w:rsidRPr="005E13DF">
        <w:rPr>
          <w:rFonts w:ascii="Tahoma" w:hAnsi="Tahoma" w:cs="Tahoma"/>
          <w:b/>
          <w:sz w:val="28"/>
          <w:szCs w:val="28"/>
        </w:rPr>
        <w:t>0</w:t>
      </w:r>
      <w:r w:rsidR="005E13DF" w:rsidRPr="005E13DF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sr-Cyrl-CS"/>
        </w:rPr>
        <w:t>Izvoz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 xml:space="preserve"> </w:t>
      </w:r>
      <w:r w:rsidR="005E13DF" w:rsidRPr="005E13DF">
        <w:rPr>
          <w:rFonts w:ascii="Tahoma" w:hAnsi="Tahoma" w:cs="Tahoma"/>
          <w:sz w:val="24"/>
          <w:szCs w:val="24"/>
          <w:lang w:val="hr-HR"/>
        </w:rPr>
        <w:t>(I-VI 2012/I-VI 2011</w:t>
      </w:r>
      <w:r w:rsidR="005E13DF" w:rsidRPr="005E13DF">
        <w:rPr>
          <w:rFonts w:ascii="Tahoma" w:hAnsi="Tahoma" w:cs="Tahoma"/>
          <w:sz w:val="24"/>
          <w:szCs w:val="24"/>
          <w:lang w:val="sr-Cyrl-CS"/>
        </w:rPr>
        <w:t>.</w:t>
      </w:r>
      <w:r w:rsidR="005E13DF" w:rsidRPr="005E13DF">
        <w:rPr>
          <w:rFonts w:ascii="Tahoma" w:hAnsi="Tahoma" w:cs="Tahoma"/>
          <w:sz w:val="24"/>
          <w:szCs w:val="24"/>
          <w:lang w:val="hr-HR"/>
        </w:rPr>
        <w:t xml:space="preserve">) </w:t>
      </w:r>
      <w:r>
        <w:rPr>
          <w:rFonts w:ascii="Tahoma" w:hAnsi="Tahoma" w:cs="Tahoma"/>
          <w:sz w:val="24"/>
          <w:szCs w:val="24"/>
          <w:lang w:val="sr-Cyrl-BA"/>
        </w:rPr>
        <w:t>smanjen</w:t>
      </w:r>
      <w:r w:rsidR="005E13DF" w:rsidRPr="005E13DF">
        <w:rPr>
          <w:rFonts w:ascii="Tahoma" w:hAnsi="Tahoma" w:cs="Tahoma"/>
          <w:sz w:val="24"/>
          <w:szCs w:val="24"/>
          <w:lang w:val="sr-Cyrl-BA"/>
        </w:rPr>
        <w:t xml:space="preserve"> </w:t>
      </w:r>
      <w:r w:rsidR="005E13DF" w:rsidRPr="005E13DF">
        <w:rPr>
          <w:rFonts w:ascii="Tahoma" w:hAnsi="Tahoma" w:cs="Tahoma"/>
          <w:sz w:val="24"/>
          <w:szCs w:val="24"/>
        </w:rPr>
        <w:t>4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>,</w:t>
      </w:r>
      <w:r w:rsidR="005E13DF" w:rsidRPr="005E13DF">
        <w:rPr>
          <w:rFonts w:ascii="Tahoma" w:hAnsi="Tahoma" w:cs="Tahoma"/>
          <w:sz w:val="24"/>
          <w:szCs w:val="24"/>
        </w:rPr>
        <w:t>1</w:t>
      </w:r>
      <w:r w:rsidR="005E13DF" w:rsidRPr="005E13DF">
        <w:rPr>
          <w:rFonts w:ascii="Tahoma" w:hAnsi="Tahoma" w:cs="Tahoma"/>
          <w:sz w:val="24"/>
          <w:szCs w:val="24"/>
          <w:lang w:val="ru-RU"/>
        </w:rPr>
        <w:t>%</w:t>
      </w:r>
    </w:p>
    <w:p w:rsidR="005E13DF" w:rsidRPr="005E13DF" w:rsidRDefault="005E13D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mjesecu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2012.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214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vrijednosti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381 </w:t>
      </w:r>
      <w:r>
        <w:rPr>
          <w:rFonts w:ascii="Tahoma" w:hAnsi="Tahoma" w:cs="Tahoma"/>
          <w:sz w:val="18"/>
          <w:szCs w:val="18"/>
          <w:lang w:val="sr-Cyrl-BA"/>
        </w:rPr>
        <w:t>milion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>.</w:t>
      </w:r>
    </w:p>
    <w:p w:rsidR="005E13DF" w:rsidRPr="005E13DF" w:rsidRDefault="005E13D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BA"/>
        </w:rPr>
      </w:pPr>
      <w:r>
        <w:rPr>
          <w:rFonts w:ascii="Tahoma" w:hAnsi="Tahoma" w:cs="Tahoma"/>
          <w:sz w:val="18"/>
          <w:szCs w:val="18"/>
          <w:lang w:val="sr-Cyrl-BA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okviru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ostvaren</w:t>
      </w:r>
      <w:r>
        <w:rPr>
          <w:rFonts w:ascii="Tahoma" w:hAnsi="Tahoma" w:cs="Tahoma"/>
          <w:sz w:val="18"/>
          <w:szCs w:val="18"/>
          <w:lang w:val="bs-Cyrl-BA"/>
        </w:rPr>
        <w:t>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robne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razmjene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R</w:t>
      </w:r>
      <w:r>
        <w:rPr>
          <w:rFonts w:ascii="Tahoma" w:hAnsi="Tahoma" w:cs="Tahoma"/>
          <w:sz w:val="18"/>
          <w:szCs w:val="18"/>
          <w:lang w:val="bs-Cyrl-BA"/>
        </w:rPr>
        <w:t>epublike</w:t>
      </w:r>
      <w:r w:rsidR="005E13DF" w:rsidRPr="005E13DF">
        <w:rPr>
          <w:rFonts w:ascii="Tahoma" w:hAnsi="Tahoma" w:cs="Tahoma"/>
          <w:sz w:val="18"/>
          <w:szCs w:val="18"/>
          <w:lang w:val="bs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Srpske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inostranstvom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junu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ove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procenat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pokrivenosti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izvozom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iznosio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je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56,2%. </w:t>
      </w:r>
    </w:p>
    <w:p w:rsidR="005E13DF" w:rsidRPr="005E13DF" w:rsidRDefault="005E13D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5E13DF" w:rsidRPr="005E13DF" w:rsidRDefault="00585DEF" w:rsidP="005E13DF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- </w:t>
      </w:r>
      <w:r>
        <w:rPr>
          <w:rFonts w:ascii="Tahoma" w:hAnsi="Tahoma" w:cs="Tahoma"/>
          <w:sz w:val="18"/>
          <w:szCs w:val="18"/>
          <w:lang w:val="ru-RU"/>
        </w:rPr>
        <w:t>jun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2012.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ostvaren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vrijednosti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milijardu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180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4,1% </w:t>
      </w:r>
      <w:r>
        <w:rPr>
          <w:rFonts w:ascii="Tahoma" w:hAnsi="Tahoma" w:cs="Tahoma"/>
          <w:sz w:val="18"/>
          <w:szCs w:val="18"/>
          <w:lang w:val="ru-RU"/>
        </w:rPr>
        <w:t>manje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. </w:t>
      </w:r>
      <w:r>
        <w:rPr>
          <w:rFonts w:ascii="Tahoma" w:hAnsi="Tahoma" w:cs="Tahoma"/>
          <w:sz w:val="18"/>
          <w:szCs w:val="18"/>
          <w:lang w:val="ru-RU"/>
        </w:rPr>
        <w:t>Uvoz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istom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2 </w:t>
      </w:r>
      <w:r>
        <w:rPr>
          <w:rFonts w:ascii="Tahoma" w:hAnsi="Tahoma" w:cs="Tahoma"/>
          <w:sz w:val="18"/>
          <w:szCs w:val="18"/>
          <w:lang w:val="ru-RU"/>
        </w:rPr>
        <w:t>milijarde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144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sz w:val="18"/>
          <w:szCs w:val="18"/>
          <w:lang w:val="ru-RU"/>
        </w:rPr>
        <w:t>što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0,7% </w:t>
      </w:r>
      <w:r>
        <w:rPr>
          <w:rFonts w:ascii="Tahoma" w:hAnsi="Tahoma" w:cs="Tahoma"/>
          <w:sz w:val="18"/>
          <w:szCs w:val="18"/>
          <w:lang w:val="ru-RU"/>
        </w:rPr>
        <w:t>više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odnosu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isti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period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prethodne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>.</w:t>
      </w:r>
    </w:p>
    <w:p w:rsidR="005E13DF" w:rsidRPr="005E13DF" w:rsidRDefault="005E13DF" w:rsidP="005E13DF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5E13DF" w:rsidRPr="005E13DF" w:rsidRDefault="00585DEF" w:rsidP="005E13DF">
      <w:pPr>
        <w:jc w:val="both"/>
        <w:rPr>
          <w:rFonts w:ascii="Tahoma" w:hAnsi="Tahoma" w:cs="Tahoma"/>
          <w:sz w:val="18"/>
          <w:szCs w:val="18"/>
          <w:lang w:val="ru-RU"/>
        </w:rPr>
      </w:pPr>
      <w:r>
        <w:rPr>
          <w:rFonts w:ascii="Tahoma" w:hAnsi="Tahoma" w:cs="Tahoma"/>
          <w:sz w:val="18"/>
          <w:szCs w:val="18"/>
          <w:lang w:val="ru-RU"/>
        </w:rPr>
        <w:t>Procenat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pokrivenosti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uvoza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izvozom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za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prvih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šest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mjeseci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tekuće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55,0%, </w:t>
      </w:r>
      <w:r>
        <w:rPr>
          <w:rFonts w:ascii="Tahoma" w:hAnsi="Tahoma" w:cs="Tahoma"/>
          <w:sz w:val="18"/>
          <w:szCs w:val="18"/>
          <w:lang w:val="ru-RU"/>
        </w:rPr>
        <w:t>dok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je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spoljnotrgovinski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robni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deficit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iznosio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964 </w:t>
      </w:r>
      <w:r>
        <w:rPr>
          <w:rFonts w:ascii="Tahoma" w:hAnsi="Tahoma" w:cs="Tahoma"/>
          <w:sz w:val="18"/>
          <w:szCs w:val="18"/>
          <w:lang w:val="ru-RU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KM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>.</w:t>
      </w:r>
    </w:p>
    <w:p w:rsidR="005E13DF" w:rsidRPr="005E13DF" w:rsidRDefault="005E13DF" w:rsidP="005E13DF">
      <w:pPr>
        <w:jc w:val="both"/>
        <w:rPr>
          <w:rFonts w:ascii="Tahoma" w:hAnsi="Tahoma" w:cs="Tahoma"/>
          <w:b/>
          <w:sz w:val="18"/>
          <w:szCs w:val="18"/>
          <w:lang w:val="ru-RU"/>
        </w:rPr>
      </w:pPr>
    </w:p>
    <w:p w:rsidR="005E13DF" w:rsidRPr="005E13DF" w:rsidRDefault="00585DEF" w:rsidP="005E13DF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  <w:r>
        <w:rPr>
          <w:rFonts w:ascii="Tahoma" w:hAnsi="Tahoma" w:cs="Tahoma"/>
          <w:szCs w:val="18"/>
          <w:lang w:val="ru-RU"/>
        </w:rPr>
        <w:t>U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pogledu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geografske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distribucije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robne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razmjene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Republik</w:t>
      </w:r>
      <w:r w:rsidR="005E13DF" w:rsidRPr="005E13DF">
        <w:rPr>
          <w:rFonts w:ascii="Tahoma" w:hAnsi="Tahoma" w:cs="Tahoma"/>
          <w:szCs w:val="18"/>
        </w:rPr>
        <w:t>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Srpsk</w:t>
      </w:r>
      <w:r w:rsidR="005E13DF" w:rsidRPr="005E13DF">
        <w:rPr>
          <w:rFonts w:ascii="Tahoma" w:hAnsi="Tahoma" w:cs="Tahoma"/>
          <w:szCs w:val="18"/>
        </w:rPr>
        <w:t>e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sa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inostranstvom</w:t>
      </w:r>
      <w:r w:rsidR="005E13DF" w:rsidRPr="005E13DF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ru-RU"/>
        </w:rPr>
        <w:t>u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periodu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>
        <w:rPr>
          <w:rFonts w:ascii="Tahoma" w:hAnsi="Tahoma" w:cs="Tahoma"/>
          <w:szCs w:val="18"/>
          <w:lang w:val="ru-RU"/>
        </w:rPr>
        <w:t>januar</w:t>
      </w:r>
      <w:r w:rsidR="005E13DF" w:rsidRPr="005E13DF">
        <w:rPr>
          <w:rFonts w:ascii="Tahoma" w:hAnsi="Tahoma" w:cs="Tahoma"/>
          <w:szCs w:val="18"/>
          <w:lang w:val="ru-RU"/>
        </w:rPr>
        <w:t xml:space="preserve"> - </w:t>
      </w:r>
      <w:r>
        <w:rPr>
          <w:rFonts w:ascii="Tahoma" w:hAnsi="Tahoma" w:cs="Tahoma"/>
          <w:szCs w:val="18"/>
          <w:lang w:val="ru-RU"/>
        </w:rPr>
        <w:t>jun</w:t>
      </w:r>
      <w:r w:rsidR="005E13DF" w:rsidRPr="005E13DF">
        <w:rPr>
          <w:rFonts w:ascii="Tahoma" w:hAnsi="Tahoma" w:cs="Tahoma"/>
          <w:szCs w:val="18"/>
          <w:lang w:val="ru-RU"/>
        </w:rPr>
        <w:t xml:space="preserve"> </w:t>
      </w:r>
      <w:r w:rsidR="005E13DF" w:rsidRPr="005E13DF">
        <w:rPr>
          <w:rFonts w:ascii="Tahoma" w:hAnsi="Tahoma" w:cs="Tahoma"/>
          <w:szCs w:val="18"/>
          <w:lang w:val="sr-Cyrl-CS"/>
        </w:rPr>
        <w:t xml:space="preserve">2012. </w:t>
      </w:r>
      <w:r>
        <w:rPr>
          <w:rFonts w:ascii="Tahoma" w:hAnsi="Tahoma" w:cs="Tahoma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najviše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se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izvozilo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Italiju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to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188 </w:t>
      </w:r>
      <w:r>
        <w:rPr>
          <w:rFonts w:ascii="Tahoma" w:hAnsi="Tahoma" w:cs="Tahoma"/>
          <w:szCs w:val="18"/>
          <w:lang w:val="sr-Cyrl-CS"/>
        </w:rPr>
        <w:t>miliona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5E13DF" w:rsidRPr="005E13DF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15,9%</w:t>
      </w:r>
      <w:r w:rsidR="005E13DF" w:rsidRPr="005E13DF">
        <w:rPr>
          <w:rFonts w:ascii="Tahoma" w:hAnsi="Tahoma" w:cs="Tahoma"/>
          <w:szCs w:val="18"/>
          <w:lang w:val="ru-RU"/>
        </w:rPr>
        <w:t xml:space="preserve">, </w:t>
      </w:r>
      <w:r>
        <w:rPr>
          <w:rFonts w:ascii="Tahoma" w:hAnsi="Tahoma" w:cs="Tahoma"/>
          <w:szCs w:val="18"/>
          <w:lang w:val="sr-Cyrl-CS"/>
        </w:rPr>
        <w:t>te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Srbiju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u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vrijednosti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od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186 </w:t>
      </w:r>
      <w:r>
        <w:rPr>
          <w:rFonts w:ascii="Tahoma" w:hAnsi="Tahoma" w:cs="Tahoma"/>
          <w:szCs w:val="18"/>
          <w:lang w:val="sr-Cyrl-CS"/>
        </w:rPr>
        <w:t>miliona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KM</w:t>
      </w:r>
      <w:r w:rsidR="005E13DF" w:rsidRPr="005E13DF">
        <w:rPr>
          <w:rFonts w:ascii="Tahoma" w:hAnsi="Tahoma" w:cs="Tahoma"/>
          <w:szCs w:val="18"/>
          <w:lang w:val="sr-Cyrl-CS"/>
        </w:rPr>
        <w:t xml:space="preserve">, </w:t>
      </w:r>
      <w:r>
        <w:rPr>
          <w:rFonts w:ascii="Tahoma" w:hAnsi="Tahoma" w:cs="Tahoma"/>
          <w:szCs w:val="18"/>
          <w:lang w:val="sr-Cyrl-CS"/>
        </w:rPr>
        <w:t>odnosno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15,7% </w:t>
      </w:r>
      <w:r>
        <w:rPr>
          <w:rFonts w:ascii="Tahoma" w:hAnsi="Tahoma" w:cs="Tahoma"/>
          <w:szCs w:val="18"/>
          <w:lang w:val="sr-Cyrl-CS"/>
        </w:rPr>
        <w:t>od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ukupnog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ostvarenog</w:t>
      </w:r>
      <w:r w:rsidR="005E13DF" w:rsidRPr="005E13DF">
        <w:rPr>
          <w:rFonts w:ascii="Tahoma" w:hAnsi="Tahoma" w:cs="Tahoma"/>
          <w:szCs w:val="18"/>
          <w:lang w:val="sr-Cyrl-CS"/>
        </w:rPr>
        <w:t xml:space="preserve"> </w:t>
      </w:r>
      <w:r>
        <w:rPr>
          <w:rFonts w:ascii="Tahoma" w:hAnsi="Tahoma" w:cs="Tahoma"/>
          <w:szCs w:val="18"/>
          <w:lang w:val="sr-Cyrl-CS"/>
        </w:rPr>
        <w:t>izvoza</w:t>
      </w:r>
      <w:r w:rsidR="005E13DF" w:rsidRPr="005E13DF">
        <w:rPr>
          <w:rFonts w:ascii="Tahoma" w:hAnsi="Tahoma" w:cs="Tahoma"/>
          <w:szCs w:val="18"/>
          <w:lang w:val="sr-Cyrl-CS"/>
        </w:rPr>
        <w:t>.</w:t>
      </w:r>
    </w:p>
    <w:p w:rsidR="005E13DF" w:rsidRPr="005E13DF" w:rsidRDefault="005E13DF" w:rsidP="005E13DF">
      <w:pPr>
        <w:pStyle w:val="Body2"/>
        <w:tabs>
          <w:tab w:val="left" w:pos="408"/>
        </w:tabs>
        <w:ind w:firstLine="0"/>
        <w:rPr>
          <w:rFonts w:ascii="Tahoma" w:hAnsi="Tahoma" w:cs="Tahoma"/>
          <w:szCs w:val="18"/>
          <w:lang w:val="sr-Cyrl-CS"/>
        </w:rPr>
      </w:pP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istom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periodu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sr-Cyrl-CS"/>
        </w:rPr>
        <w:t>ajviše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uvozilo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Rusije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529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24,7% </w:t>
      </w:r>
      <w:r>
        <w:rPr>
          <w:rFonts w:ascii="Tahoma" w:hAnsi="Tahoma" w:cs="Tahoma"/>
          <w:sz w:val="18"/>
          <w:szCs w:val="18"/>
          <w:lang w:val="sr-Cyrl-CS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Srbije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vrijednosti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366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odnosno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17,1%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ostvarenog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>.</w:t>
      </w:r>
    </w:p>
    <w:p w:rsidR="005E13DF" w:rsidRPr="005E13DF" w:rsidRDefault="005E13D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5E13DF" w:rsidRPr="005E13DF" w:rsidRDefault="00585DEF" w:rsidP="005E13D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  <w:r>
        <w:rPr>
          <w:rFonts w:ascii="Tahoma" w:hAnsi="Tahoma" w:cs="Tahoma"/>
          <w:bCs/>
          <w:sz w:val="18"/>
          <w:szCs w:val="18"/>
          <w:lang w:val="ru-RU"/>
        </w:rPr>
        <w:t>Posmatrano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po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grupama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proizvoda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, </w:t>
      </w:r>
      <w:r>
        <w:rPr>
          <w:rFonts w:ascii="Tahoma" w:hAnsi="Tahoma" w:cs="Tahoma"/>
          <w:bCs/>
          <w:sz w:val="18"/>
          <w:szCs w:val="18"/>
          <w:lang w:val="ru-RU"/>
        </w:rPr>
        <w:t>u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bCs/>
          <w:sz w:val="18"/>
          <w:szCs w:val="18"/>
          <w:lang w:val="ru-RU"/>
        </w:rPr>
        <w:t>periodu</w:t>
      </w:r>
      <w:r w:rsidR="005E13DF" w:rsidRPr="005E13DF">
        <w:rPr>
          <w:rFonts w:ascii="Tahoma" w:hAnsi="Tahoma" w:cs="Tahoma"/>
          <w:b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januar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 - </w:t>
      </w:r>
      <w:r>
        <w:rPr>
          <w:rFonts w:ascii="Tahoma" w:hAnsi="Tahoma" w:cs="Tahoma"/>
          <w:sz w:val="18"/>
          <w:szCs w:val="18"/>
          <w:lang w:val="ru-RU"/>
        </w:rPr>
        <w:t>jun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2012. </w:t>
      </w:r>
      <w:r>
        <w:rPr>
          <w:rFonts w:ascii="Tahoma" w:hAnsi="Tahoma" w:cs="Tahoma"/>
          <w:sz w:val="18"/>
          <w:szCs w:val="18"/>
          <w:lang w:val="sr-Cyrl-CS"/>
        </w:rPr>
        <w:t>godine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naftna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i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osim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sirovih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>)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sa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vrijednošću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174 </w:t>
      </w:r>
      <w:r>
        <w:rPr>
          <w:rFonts w:ascii="Tahoma" w:hAnsi="Tahoma" w:cs="Tahoma"/>
          <w:sz w:val="18"/>
          <w:szCs w:val="18"/>
          <w:lang w:val="sr-Cyrl-CS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što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iznosi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14,8% </w:t>
      </w:r>
      <w:r>
        <w:rPr>
          <w:rFonts w:ascii="Tahoma" w:hAnsi="Tahoma" w:cs="Tahoma"/>
          <w:sz w:val="18"/>
          <w:szCs w:val="18"/>
          <w:lang w:val="sr-Cyrl-CS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ukupnog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izvoza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, </w:t>
      </w:r>
      <w:r>
        <w:rPr>
          <w:rFonts w:ascii="Tahoma" w:hAnsi="Tahoma" w:cs="Tahoma"/>
          <w:sz w:val="18"/>
          <w:szCs w:val="18"/>
          <w:lang w:val="sr-Cyrl-CS"/>
        </w:rPr>
        <w:t>dok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najveće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učešće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uvozu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CS"/>
        </w:rPr>
        <w:t>ostvaruje</w:t>
      </w:r>
      <w:r w:rsidR="005E13DF" w:rsidRPr="005E13DF">
        <w:rPr>
          <w:rFonts w:ascii="Tahoma" w:hAnsi="Tahoma" w:cs="Tahoma"/>
          <w:sz w:val="18"/>
          <w:szCs w:val="18"/>
          <w:lang w:val="sr-Cyrl-CS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n</w:t>
      </w:r>
      <w:r>
        <w:rPr>
          <w:rFonts w:ascii="Tahoma" w:hAnsi="Tahoma" w:cs="Tahoma"/>
          <w:sz w:val="18"/>
          <w:szCs w:val="18"/>
          <w:lang w:val="ru-RU"/>
        </w:rPr>
        <w:t>aft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ulja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dobijena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od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bitumenoznih</w:t>
      </w:r>
      <w:r w:rsidR="005E13DF" w:rsidRPr="005E13DF">
        <w:rPr>
          <w:rFonts w:ascii="Tahoma" w:hAnsi="Tahoma" w:cs="Tahoma"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sz w:val="18"/>
          <w:szCs w:val="18"/>
          <w:lang w:val="ru-RU"/>
        </w:rPr>
        <w:t>minerala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(</w:t>
      </w:r>
      <w:r>
        <w:rPr>
          <w:rFonts w:ascii="Tahoma" w:hAnsi="Tahoma" w:cs="Tahoma"/>
          <w:sz w:val="18"/>
          <w:szCs w:val="18"/>
          <w:lang w:val="ru-RU"/>
        </w:rPr>
        <w:t>sirov</w:t>
      </w:r>
      <w:r>
        <w:rPr>
          <w:rFonts w:ascii="Tahoma" w:hAnsi="Tahoma" w:cs="Tahoma"/>
          <w:sz w:val="18"/>
          <w:szCs w:val="18"/>
          <w:lang w:val="sr-Cyrl-BA"/>
        </w:rPr>
        <w:t>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), </w:t>
      </w:r>
      <w:r>
        <w:rPr>
          <w:rFonts w:ascii="Tahoma" w:hAnsi="Tahoma" w:cs="Tahoma"/>
          <w:sz w:val="18"/>
          <w:szCs w:val="18"/>
          <w:lang w:val="sr-Cyrl-BA"/>
        </w:rPr>
        <w:t>sa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vrijednošću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568 </w:t>
      </w:r>
      <w:r>
        <w:rPr>
          <w:rFonts w:ascii="Tahoma" w:hAnsi="Tahoma" w:cs="Tahoma"/>
          <w:sz w:val="18"/>
          <w:szCs w:val="18"/>
          <w:lang w:val="sr-Cyrl-BA"/>
        </w:rPr>
        <w:t>miliona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KM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, </w:t>
      </w:r>
      <w:r>
        <w:rPr>
          <w:rFonts w:ascii="Tahoma" w:hAnsi="Tahoma" w:cs="Tahoma"/>
          <w:sz w:val="18"/>
          <w:szCs w:val="18"/>
          <w:lang w:val="sr-Cyrl-BA"/>
        </w:rPr>
        <w:t>što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iznosi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26,5% </w:t>
      </w:r>
      <w:r>
        <w:rPr>
          <w:rFonts w:ascii="Tahoma" w:hAnsi="Tahoma" w:cs="Tahoma"/>
          <w:sz w:val="18"/>
          <w:szCs w:val="18"/>
          <w:lang w:val="sr-Cyrl-BA"/>
        </w:rPr>
        <w:t>od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ukupnog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 xml:space="preserve"> </w:t>
      </w:r>
      <w:r>
        <w:rPr>
          <w:rFonts w:ascii="Tahoma" w:hAnsi="Tahoma" w:cs="Tahoma"/>
          <w:sz w:val="18"/>
          <w:szCs w:val="18"/>
          <w:lang w:val="sr-Cyrl-BA"/>
        </w:rPr>
        <w:t>uvoza</w:t>
      </w:r>
      <w:r w:rsidR="005E13DF" w:rsidRPr="005E13DF">
        <w:rPr>
          <w:rFonts w:ascii="Tahoma" w:hAnsi="Tahoma" w:cs="Tahoma"/>
          <w:sz w:val="18"/>
          <w:szCs w:val="18"/>
          <w:lang w:val="sr-Cyrl-BA"/>
        </w:rPr>
        <w:t>.</w:t>
      </w:r>
    </w:p>
    <w:p w:rsidR="00F04921" w:rsidRPr="005E13DF" w:rsidRDefault="00B910C0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</w:rPr>
        <w:pict>
          <v:shape id="_x0000_s1077" type="#_x0000_t202" style="position:absolute;left:0;text-align:left;margin-left:336.25pt;margin-top:1.75pt;width:73.85pt;height:22.55pt;z-index:251670528" strokecolor="white [3212]">
            <v:textbox>
              <w:txbxContent>
                <w:p w:rsidR="009C75CC" w:rsidRPr="009C75CC" w:rsidRDefault="00585DEF">
                  <w:pPr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>hilj</w:t>
                  </w:r>
                  <w:r w:rsidR="009C75CC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>. КМ</w:t>
                  </w:r>
                </w:p>
              </w:txbxContent>
            </v:textbox>
          </v:shape>
        </w:pict>
      </w:r>
    </w:p>
    <w:p w:rsidR="00F04921" w:rsidRPr="005E13DF" w:rsidRDefault="00F04921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DB6D76" w:rsidRPr="005E13DF" w:rsidRDefault="00B910C0" w:rsidP="00B97590">
      <w:pPr>
        <w:jc w:val="center"/>
        <w:rPr>
          <w:rFonts w:ascii="Tahoma" w:hAnsi="Tahoma" w:cs="Tahoma"/>
          <w:sz w:val="18"/>
          <w:szCs w:val="18"/>
        </w:rPr>
      </w:pPr>
      <w:r w:rsidRPr="00B910C0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178.5pt;margin-top:182.65pt;width:188.35pt;height:22.2pt;z-index:251657216;mso-width-relative:margin;mso-height-relative:margin" stroked="f">
            <v:textbox style="mso-next-textbox:#_x0000_s1061">
              <w:txbxContent>
                <w:p w:rsidR="00EB450E" w:rsidRPr="0095396E" w:rsidRDefault="00EB450E" w:rsidP="0078288A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2011.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         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  <w:lang w:val="sr-Cyrl-CS"/>
                    </w:rPr>
                    <w:t xml:space="preserve">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8"/>
                      <w:szCs w:val="18"/>
                    </w:rPr>
                    <w:t xml:space="preserve">     </w:t>
                  </w:r>
                  <w:r w:rsidRPr="0095396E">
                    <w:rPr>
                      <w:rFonts w:ascii="Tahoma" w:hAnsi="Tahoma" w:cs="Tahoma"/>
                      <w:sz w:val="18"/>
                      <w:szCs w:val="18"/>
                    </w:rPr>
                    <w:t>2012.</w:t>
                  </w:r>
                </w:p>
              </w:txbxContent>
            </v:textbox>
          </v:shape>
        </w:pict>
      </w:r>
      <w:r w:rsidR="005E13DF" w:rsidRPr="005E13DF">
        <w:rPr>
          <w:rFonts w:ascii="Tahoma" w:hAnsi="Tahoma" w:cs="Tahoma"/>
          <w:noProof/>
          <w:sz w:val="18"/>
          <w:szCs w:val="18"/>
        </w:rPr>
        <w:drawing>
          <wp:inline distT="0" distB="0" distL="0" distR="0">
            <wp:extent cx="4600575" cy="2743200"/>
            <wp:effectExtent l="0" t="0" r="0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7590" w:rsidRPr="005E13DF" w:rsidRDefault="00B97590" w:rsidP="00B97590">
      <w:pPr>
        <w:jc w:val="center"/>
        <w:rPr>
          <w:rFonts w:ascii="Tahoma" w:hAnsi="Tahoma" w:cs="Tahoma"/>
          <w:sz w:val="18"/>
          <w:szCs w:val="18"/>
        </w:rPr>
      </w:pPr>
    </w:p>
    <w:p w:rsidR="00DB6D76" w:rsidRPr="005E13DF" w:rsidRDefault="00DB6D76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  <w:lang w:val="sr-Cyrl-CS"/>
        </w:rPr>
      </w:pPr>
    </w:p>
    <w:p w:rsidR="00B97590" w:rsidRPr="005E13DF" w:rsidRDefault="00585DEF" w:rsidP="00DB54DA">
      <w:pPr>
        <w:tabs>
          <w:tab w:val="left" w:pos="2535"/>
        </w:tabs>
        <w:jc w:val="center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sz w:val="18"/>
          <w:szCs w:val="18"/>
          <w:lang w:val="ru-RU"/>
        </w:rPr>
        <w:t>Gr</w:t>
      </w:r>
      <w:r>
        <w:rPr>
          <w:rFonts w:ascii="Tahoma" w:hAnsi="Tahoma" w:cs="Tahoma"/>
          <w:sz w:val="18"/>
          <w:szCs w:val="18"/>
        </w:rPr>
        <w:t>a</w:t>
      </w:r>
      <w:r>
        <w:rPr>
          <w:rFonts w:ascii="Tahoma" w:hAnsi="Tahoma" w:cs="Tahoma"/>
          <w:sz w:val="18"/>
          <w:szCs w:val="18"/>
          <w:lang w:val="ru-RU"/>
        </w:rPr>
        <w:t>fikon</w:t>
      </w:r>
      <w:r w:rsidR="00B97590" w:rsidRPr="005E13DF">
        <w:rPr>
          <w:rFonts w:ascii="Tahoma" w:hAnsi="Tahoma" w:cs="Tahoma"/>
          <w:sz w:val="18"/>
          <w:szCs w:val="18"/>
          <w:lang w:val="ru-RU"/>
        </w:rPr>
        <w:t xml:space="preserve"> 2. </w:t>
      </w:r>
      <w:r>
        <w:rPr>
          <w:rFonts w:ascii="Tahoma" w:hAnsi="Tahoma" w:cs="Tahoma"/>
          <w:iCs/>
          <w:sz w:val="18"/>
          <w:szCs w:val="18"/>
          <w:lang w:val="sr-Cyrl-CS"/>
        </w:rPr>
        <w:t>Iz</w:t>
      </w:r>
      <w:r>
        <w:rPr>
          <w:rFonts w:ascii="Tahoma" w:hAnsi="Tahoma" w:cs="Tahoma"/>
          <w:iCs/>
          <w:sz w:val="18"/>
          <w:szCs w:val="18"/>
          <w:lang w:val="ru-RU"/>
        </w:rPr>
        <w:t>voz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i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sr-Cyrl-CS"/>
        </w:rPr>
        <w:t>u</w:t>
      </w:r>
      <w:r>
        <w:rPr>
          <w:rFonts w:ascii="Tahoma" w:hAnsi="Tahoma" w:cs="Tahoma"/>
          <w:iCs/>
          <w:sz w:val="18"/>
          <w:szCs w:val="18"/>
          <w:lang w:val="ru-RU"/>
        </w:rPr>
        <w:t>voz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po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mjesecima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u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ru-RU"/>
        </w:rPr>
        <w:t>hilj</w:t>
      </w:r>
      <w:r>
        <w:rPr>
          <w:rFonts w:ascii="Tahoma" w:hAnsi="Tahoma" w:cs="Tahoma"/>
          <w:iCs/>
          <w:sz w:val="18"/>
          <w:szCs w:val="18"/>
          <w:lang w:val="sr-Cyrl-CS"/>
        </w:rPr>
        <w:t>adama</w:t>
      </w:r>
      <w:r w:rsidR="00B97590" w:rsidRPr="005E13DF">
        <w:rPr>
          <w:rFonts w:ascii="Tahoma" w:hAnsi="Tahoma" w:cs="Tahoma"/>
          <w:iCs/>
          <w:sz w:val="18"/>
          <w:szCs w:val="18"/>
          <w:lang w:val="ru-RU"/>
        </w:rPr>
        <w:t xml:space="preserve"> </w:t>
      </w:r>
      <w:r>
        <w:rPr>
          <w:rFonts w:ascii="Tahoma" w:hAnsi="Tahoma" w:cs="Tahoma"/>
          <w:iCs/>
          <w:sz w:val="18"/>
          <w:szCs w:val="18"/>
          <w:lang w:val="sr-Cyrl-CS"/>
        </w:rPr>
        <w:t>KM</w:t>
      </w:r>
    </w:p>
    <w:p w:rsidR="0078288A" w:rsidRPr="005E13DF" w:rsidRDefault="0078288A" w:rsidP="00F8723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5E13DF" w:rsidRDefault="00AF1FE7" w:rsidP="0020048F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8"/>
          <w:szCs w:val="18"/>
        </w:rPr>
      </w:pPr>
    </w:p>
    <w:p w:rsidR="00DB54DA" w:rsidRPr="005E13DF" w:rsidRDefault="00DB54DA" w:rsidP="00EB450E">
      <w:pPr>
        <w:rPr>
          <w:rFonts w:ascii="Tahoma" w:hAnsi="Tahoma" w:cs="Tahoma"/>
          <w:b/>
          <w:sz w:val="28"/>
          <w:szCs w:val="28"/>
          <w:lang w:val="sr-Cyrl-CS"/>
        </w:rPr>
      </w:pPr>
    </w:p>
    <w:p w:rsidR="00DB6D76" w:rsidRPr="005E13DF" w:rsidRDefault="00372FAD" w:rsidP="00E011F4">
      <w:pPr>
        <w:rPr>
          <w:rFonts w:ascii="Tahoma" w:hAnsi="Tahoma" w:cs="Tahoma"/>
          <w:b/>
          <w:sz w:val="28"/>
          <w:szCs w:val="28"/>
        </w:rPr>
      </w:pPr>
      <w:r w:rsidRPr="005E13DF">
        <w:rPr>
          <w:rFonts w:ascii="Tahoma" w:hAnsi="Tahoma" w:cs="Tahoma"/>
          <w:b/>
          <w:sz w:val="28"/>
          <w:szCs w:val="28"/>
        </w:rPr>
        <w:br w:type="page"/>
      </w: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8C3261" w:rsidRPr="005E13DF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585DEF" w:rsidP="00542A21">
            <w:pPr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MATERIJAL</w:t>
            </w:r>
            <w:r w:rsidR="008C3261" w:rsidRPr="005E13DF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PRIPREMILI</w:t>
            </w:r>
            <w:r w:rsidR="008C3261" w:rsidRPr="005E13DF">
              <w:rPr>
                <w:rFonts w:ascii="Tahoma" w:hAnsi="Tahoma" w:cs="Tahoma"/>
                <w:b/>
                <w:lang w:val="sr-Cyrl-CS"/>
              </w:rPr>
              <w:t xml:space="preserve">: </w:t>
            </w:r>
          </w:p>
        </w:tc>
      </w:tr>
      <w:tr w:rsidR="00133307" w:rsidRPr="005E13DF" w:rsidTr="00E011F4">
        <w:trPr>
          <w:trHeight w:val="697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133307" w:rsidRDefault="00133307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>
              <w:rPr>
                <w:rFonts w:ascii="Tahoma" w:hAnsi="Tahoma" w:cs="Tahoma"/>
                <w:b/>
                <w:sz w:val="16"/>
                <w:lang w:val="sr-Latn-CS"/>
              </w:rPr>
              <w:t xml:space="preserve">Statistika nacionalnih računa </w:t>
            </w:r>
          </w:p>
          <w:p w:rsidR="00133307" w:rsidRPr="00133307" w:rsidRDefault="00133307" w:rsidP="000F0E43">
            <w:pPr>
              <w:rPr>
                <w:rFonts w:ascii="Tahoma" w:hAnsi="Tahoma" w:cs="Tahoma"/>
                <w:sz w:val="16"/>
                <w:lang w:val="sr-Latn-CS"/>
              </w:rPr>
            </w:pPr>
            <w:r w:rsidRPr="00133307">
              <w:rPr>
                <w:rFonts w:ascii="Tahoma" w:hAnsi="Tahoma" w:cs="Tahoma"/>
                <w:sz w:val="16"/>
                <w:lang w:val="sr-Latn-CS"/>
              </w:rPr>
              <w:t>Žana Alagić</w:t>
            </w:r>
          </w:p>
          <w:p w:rsidR="00133307" w:rsidRPr="00133307" w:rsidRDefault="00B910C0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hyperlink r:id="rId12" w:history="1"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zana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Latn-CS"/>
                </w:rPr>
                <w:t>alagic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133307" w:rsidRPr="00133307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133307" w:rsidRPr="00133307" w:rsidRDefault="00133307" w:rsidP="000F0E43">
            <w:pPr>
              <w:rPr>
                <w:rFonts w:ascii="Tahoma" w:hAnsi="Tahoma" w:cs="Tahoma"/>
                <w:sz w:val="16"/>
                <w:lang w:val="sr-Latn-CS"/>
              </w:rPr>
            </w:pPr>
            <w:r w:rsidRPr="00133307">
              <w:rPr>
                <w:rFonts w:ascii="Tahoma" w:hAnsi="Tahoma" w:cs="Tahoma"/>
                <w:sz w:val="16"/>
                <w:lang w:val="sr-Latn-CS"/>
              </w:rPr>
              <w:t>Milka Ciganović</w:t>
            </w:r>
          </w:p>
          <w:p w:rsidR="00133307" w:rsidRPr="00133307" w:rsidRDefault="00B910C0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hyperlink r:id="rId13" w:history="1"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milka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Latn-CS"/>
                </w:rPr>
                <w:t>ciganovic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133307" w:rsidRPr="00133307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133307" w:rsidRPr="00133307" w:rsidRDefault="00133307" w:rsidP="000F0E43">
            <w:pPr>
              <w:rPr>
                <w:rFonts w:ascii="Tahoma" w:hAnsi="Tahoma" w:cs="Tahoma"/>
                <w:sz w:val="16"/>
                <w:lang w:val="sr-Latn-CS"/>
              </w:rPr>
            </w:pPr>
            <w:r w:rsidRPr="00133307">
              <w:rPr>
                <w:rFonts w:ascii="Tahoma" w:hAnsi="Tahoma" w:cs="Tahoma"/>
                <w:sz w:val="16"/>
                <w:lang w:val="sr-Latn-CS"/>
              </w:rPr>
              <w:t>Jadranka Luburić</w:t>
            </w:r>
          </w:p>
          <w:p w:rsidR="00133307" w:rsidRPr="00133307" w:rsidRDefault="00B910C0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hyperlink r:id="rId14" w:history="1"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jadranka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Latn-CS"/>
                </w:rPr>
                <w:t>luburic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133307" w:rsidRPr="00133307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133307" w:rsidRPr="00133307" w:rsidRDefault="00133307" w:rsidP="000F0E43">
            <w:pPr>
              <w:rPr>
                <w:rFonts w:ascii="Tahoma" w:hAnsi="Tahoma" w:cs="Tahoma"/>
                <w:sz w:val="16"/>
                <w:lang w:val="sr-Latn-CS"/>
              </w:rPr>
            </w:pPr>
            <w:r w:rsidRPr="00133307">
              <w:rPr>
                <w:rFonts w:ascii="Tahoma" w:hAnsi="Tahoma" w:cs="Tahoma"/>
                <w:sz w:val="16"/>
                <w:lang w:val="sr-Latn-CS"/>
              </w:rPr>
              <w:t>Dijana Maleš</w:t>
            </w:r>
          </w:p>
          <w:p w:rsidR="00133307" w:rsidRDefault="00B910C0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hyperlink r:id="rId15" w:history="1"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dijana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Latn-CS"/>
                </w:rPr>
                <w:t>dedic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133307" w:rsidRPr="0013330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133307" w:rsidRPr="005E13DF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133307" w:rsidRPr="00133307" w:rsidRDefault="00133307" w:rsidP="000F0E43">
            <w:pPr>
              <w:rPr>
                <w:rFonts w:ascii="Tahoma" w:hAnsi="Tahoma" w:cs="Tahoma"/>
                <w:b/>
                <w:sz w:val="16"/>
                <w:lang w:val="sr-Latn-CS"/>
              </w:rPr>
            </w:pPr>
          </w:p>
        </w:tc>
      </w:tr>
      <w:tr w:rsidR="008C3261" w:rsidRPr="005E13DF" w:rsidTr="00E011F4">
        <w:trPr>
          <w:trHeight w:val="697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0E43" w:rsidRPr="005E13DF" w:rsidRDefault="00585DEF" w:rsidP="000F0E43">
            <w:pPr>
              <w:rPr>
                <w:rFonts w:ascii="Tahoma" w:hAnsi="Tahoma" w:cs="Tahoma"/>
                <w:b/>
                <w:sz w:val="16"/>
                <w:lang w:val="ru-RU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0F0E43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rada</w:t>
            </w:r>
            <w:r w:rsidR="000F0E43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A23F12" w:rsidRPr="005E13DF" w:rsidRDefault="00585DEF" w:rsidP="000F0E43">
            <w:pPr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Biljana</w:t>
            </w:r>
            <w:r w:rsidR="00205D07" w:rsidRPr="005E13DF">
              <w:rPr>
                <w:rFonts w:ascii="Tahoma" w:hAnsi="Tahoma" w:cs="Tahoma"/>
                <w:sz w:val="16"/>
                <w:lang w:val="bs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bs-Cyrl-BA"/>
              </w:rPr>
              <w:t>Glušac</w:t>
            </w:r>
          </w:p>
          <w:p w:rsidR="00E011F4" w:rsidRPr="005E13DF" w:rsidRDefault="00B910C0" w:rsidP="00542A21">
            <w:hyperlink r:id="rId16" w:history="1">
              <w:r w:rsidR="00205D07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biljana.glisic@rzs.rs.ba</w:t>
              </w:r>
            </w:hyperlink>
          </w:p>
          <w:p w:rsidR="008C3261" w:rsidRPr="005E13DF" w:rsidRDefault="00585DEF" w:rsidP="00542A21">
            <w:pPr>
              <w:rPr>
                <w:rFonts w:ascii="Tahoma" w:hAnsi="Tahoma" w:cs="Tahoma"/>
                <w:sz w:val="16"/>
                <w:szCs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Vladimir</w:t>
            </w:r>
            <w:r w:rsidR="00E011F4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Koprivica</w:t>
            </w:r>
          </w:p>
          <w:p w:rsidR="008C3261" w:rsidRPr="005E13DF" w:rsidRDefault="00B910C0" w:rsidP="00542A21">
            <w:pPr>
              <w:rPr>
                <w:rFonts w:ascii="Tahoma" w:hAnsi="Tahoma" w:cs="Tahoma"/>
                <w:sz w:val="16"/>
                <w:lang w:val="sr-Cyrl-CS"/>
              </w:rPr>
            </w:pPr>
            <w:hyperlink r:id="rId17" w:history="1">
              <w:r w:rsidR="00E011F4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vladimir.koprivica@rzs.rs.ba</w:t>
              </w:r>
            </w:hyperlink>
          </w:p>
          <w:p w:rsidR="00E011F4" w:rsidRPr="005E13DF" w:rsidRDefault="00E011F4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5E13DF" w:rsidTr="00205D07">
        <w:trPr>
          <w:trHeight w:hRule="exact" w:val="113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585DEF" w:rsidP="00542A21">
            <w:pPr>
              <w:rPr>
                <w:rFonts w:ascii="Tahoma" w:hAnsi="Tahoma" w:cs="Tahoma"/>
                <w:b/>
                <w:sz w:val="16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cijena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205D07" w:rsidRPr="005E13DF" w:rsidRDefault="00585DEF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Biljana</w:t>
            </w:r>
            <w:r w:rsidR="00205D07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Tešić</w:t>
            </w:r>
          </w:p>
          <w:p w:rsidR="00205D07" w:rsidRPr="005E13DF" w:rsidRDefault="00B910C0" w:rsidP="00542A21">
            <w:pPr>
              <w:rPr>
                <w:rFonts w:ascii="Tahoma" w:hAnsi="Tahoma" w:cs="Tahoma"/>
                <w:sz w:val="16"/>
              </w:rPr>
            </w:pPr>
            <w:hyperlink r:id="rId18" w:history="1">
              <w:r w:rsidR="00205D07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biljana.tesic@rzs.rs.ba</w:t>
              </w:r>
            </w:hyperlink>
            <w:r w:rsidR="00205D07" w:rsidRPr="005E13DF">
              <w:rPr>
                <w:rFonts w:ascii="Tahoma" w:hAnsi="Tahoma" w:cs="Tahoma"/>
                <w:sz w:val="16"/>
              </w:rPr>
              <w:t xml:space="preserve"> </w:t>
            </w:r>
          </w:p>
          <w:p w:rsidR="008C3261" w:rsidRPr="005E13DF" w:rsidRDefault="00585DEF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BA"/>
              </w:rPr>
              <w:t>Jasminka</w:t>
            </w:r>
            <w:r w:rsidR="008C3261" w:rsidRPr="005E13DF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Milić</w:t>
            </w:r>
          </w:p>
          <w:p w:rsidR="008C3261" w:rsidRPr="005E13DF" w:rsidRDefault="00B910C0" w:rsidP="00542A21">
            <w:pPr>
              <w:rPr>
                <w:rFonts w:ascii="Tahoma" w:hAnsi="Tahoma" w:cs="Tahoma"/>
                <w:sz w:val="16"/>
                <w:lang w:val="bs-Cyrl-BA"/>
              </w:rPr>
            </w:pPr>
            <w:hyperlink r:id="rId19" w:history="1"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jasminka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milic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@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</w:p>
          <w:p w:rsidR="008C3261" w:rsidRPr="005E13D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5E13DF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585DEF" w:rsidP="00542A21">
            <w:pPr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industrije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i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rudarstva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5E13DF" w:rsidRDefault="00585DEF" w:rsidP="00542A21">
            <w:pPr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Mirjana</w:t>
            </w:r>
            <w:r w:rsidR="008D6CFA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Bandur</w:t>
            </w:r>
          </w:p>
          <w:p w:rsidR="008C3261" w:rsidRPr="005E13DF" w:rsidRDefault="00B910C0" w:rsidP="00542A21">
            <w:pPr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20" w:history="1"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mirjana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bandur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@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BA"/>
                </w:rPr>
                <w:t>.</w:t>
              </w:r>
              <w:r w:rsidR="008D6CFA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  <w:r w:rsidR="008C3261" w:rsidRPr="005E13DF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8C3261" w:rsidRPr="005E13D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5E13DF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585DEF" w:rsidP="00542A21">
            <w:pPr>
              <w:rPr>
                <w:rFonts w:ascii="Tahoma" w:hAnsi="Tahoma" w:cs="Tahoma"/>
                <w:b/>
                <w:sz w:val="16"/>
                <w:lang w:val="sr-Latn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Statistika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spoljne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lang w:val="sr-Cyrl-CS"/>
              </w:rPr>
              <w:t>trgovine</w:t>
            </w:r>
            <w:r w:rsidR="008C3261" w:rsidRPr="005E13DF">
              <w:rPr>
                <w:rFonts w:ascii="Tahoma" w:hAnsi="Tahoma" w:cs="Tahoma"/>
                <w:b/>
                <w:sz w:val="16"/>
                <w:lang w:val="sr-Cyrl-CS"/>
              </w:rPr>
              <w:t xml:space="preserve"> </w:t>
            </w:r>
          </w:p>
          <w:p w:rsidR="008C3261" w:rsidRPr="005E13DF" w:rsidRDefault="00585DEF" w:rsidP="00542A21">
            <w:pPr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Sanja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Stojčević</w:t>
            </w:r>
          </w:p>
          <w:p w:rsidR="008C3261" w:rsidRPr="005E13DF" w:rsidRDefault="00B910C0" w:rsidP="00542A21">
            <w:pPr>
              <w:rPr>
                <w:rFonts w:ascii="Tahoma" w:hAnsi="Tahoma" w:cs="Tahoma"/>
                <w:sz w:val="16"/>
                <w:lang w:val="sr-Cyrl-BA"/>
              </w:rPr>
            </w:pPr>
            <w:hyperlink r:id="rId21" w:history="1"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sanja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stojcevic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@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rzs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rs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  <w:lang w:val="sr-Cyrl-CS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ba</w:t>
              </w:r>
            </w:hyperlink>
          </w:p>
          <w:p w:rsidR="008C3261" w:rsidRPr="005E13DF" w:rsidRDefault="008C3261" w:rsidP="00542A21">
            <w:pPr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5E13DF" w:rsidRDefault="00C14E1B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8C3261" w:rsidRPr="005E13DF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585DEF" w:rsidP="00542A21">
            <w:pPr>
              <w:rPr>
                <w:rFonts w:ascii="Tahoma" w:hAnsi="Tahoma" w:cs="Tahoma"/>
                <w:b/>
                <w:lang w:val="sr-Cyrl-CS"/>
              </w:rPr>
            </w:pPr>
            <w:r>
              <w:rPr>
                <w:rFonts w:ascii="Tahoma" w:hAnsi="Tahoma" w:cs="Tahoma"/>
                <w:b/>
                <w:lang w:val="sr-Cyrl-CS"/>
              </w:rPr>
              <w:t>OBJAŠNjENjA</w:t>
            </w:r>
            <w:r w:rsidR="008C3261" w:rsidRPr="005E13DF">
              <w:rPr>
                <w:rFonts w:ascii="Tahoma" w:hAnsi="Tahoma" w:cs="Tahoma"/>
                <w:b/>
                <w:lang w:val="sr-Cyrl-CS"/>
              </w:rPr>
              <w:t xml:space="preserve"> </w:t>
            </w:r>
            <w:r>
              <w:rPr>
                <w:rFonts w:ascii="Tahoma" w:hAnsi="Tahoma" w:cs="Tahoma"/>
                <w:b/>
                <w:lang w:val="sr-Cyrl-CS"/>
              </w:rPr>
              <w:t>POJMOVA</w:t>
            </w:r>
          </w:p>
        </w:tc>
      </w:tr>
      <w:tr w:rsidR="008C3261" w:rsidRPr="005E13DF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5E13DF" w:rsidRDefault="008C3261" w:rsidP="00542A21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5E13DF">
              <w:rPr>
                <w:rFonts w:ascii="Tahoma" w:hAnsi="Tahoma" w:cs="Tahoma"/>
                <w:b/>
                <w:bCs/>
              </w:rPr>
              <w:sym w:font="Symbol" w:char="00C6"/>
            </w:r>
            <w:r w:rsidRPr="005E13DF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5E13DF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 xml:space="preserve">- </w:t>
            </w:r>
            <w:r w:rsidR="00585DEF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prosjek</w:t>
            </w:r>
          </w:p>
        </w:tc>
      </w:tr>
    </w:tbl>
    <w:p w:rsidR="00A115B5" w:rsidRPr="005E13DF" w:rsidRDefault="00A115B5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DB6D76" w:rsidRPr="005E13DF" w:rsidRDefault="00DB6D76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F8723A" w:rsidRPr="005E13DF" w:rsidRDefault="00F8723A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5E13D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5E13D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5E13D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4C5733" w:rsidRPr="005E13DF" w:rsidRDefault="004C573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9B294C" w:rsidRPr="005E13D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5E13D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9B294C" w:rsidRPr="005E13DF" w:rsidRDefault="009B294C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330DBE" w:rsidRPr="005E13DF" w:rsidRDefault="00330DBE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5E13D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5E13D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5E13D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</w:p>
    <w:p w:rsidR="00205D07" w:rsidRPr="005E13DF" w:rsidRDefault="00205D07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Latn-CS"/>
        </w:rPr>
      </w:pPr>
    </w:p>
    <w:p w:rsidR="00A72953" w:rsidRPr="005E13DF" w:rsidRDefault="00A72953" w:rsidP="008C3261">
      <w:pPr>
        <w:tabs>
          <w:tab w:val="left" w:pos="300"/>
          <w:tab w:val="left" w:pos="1100"/>
        </w:tabs>
        <w:rPr>
          <w:rFonts w:ascii="Tahoma" w:hAnsi="Tahoma" w:cs="Tahoma"/>
          <w:b/>
        </w:rPr>
      </w:pPr>
    </w:p>
    <w:p w:rsidR="008C3261" w:rsidRPr="005E13DF" w:rsidRDefault="00B910C0" w:rsidP="008C3261">
      <w:pPr>
        <w:tabs>
          <w:tab w:val="left" w:pos="300"/>
          <w:tab w:val="left" w:pos="1100"/>
        </w:tabs>
        <w:rPr>
          <w:rFonts w:ascii="Tahoma" w:hAnsi="Tahoma" w:cs="Tahoma"/>
          <w:b/>
          <w:lang w:val="sr-Cyrl-CS"/>
        </w:rPr>
      </w:pPr>
      <w:r w:rsidRPr="00B910C0">
        <w:rPr>
          <w:rFonts w:ascii="Tahoma" w:hAnsi="Tahoma" w:cs="Tahoma"/>
          <w:noProof/>
          <w:sz w:val="16"/>
        </w:rPr>
        <w:pict>
          <v:line id="_x0000_s1056" style="position:absolute;z-index:251654144" from="-.5pt,13.7pt" to="512.5pt,13.7pt" strokecolor="#376ea5" strokeweight="1.5pt"/>
        </w:pict>
      </w:r>
    </w:p>
    <w:tbl>
      <w:tblPr>
        <w:tblpPr w:leftFromText="180" w:rightFromText="180" w:vertAnchor="text" w:horzAnchor="margin" w:tblpXSpec="center" w:tblpY="84"/>
        <w:tblW w:w="10348" w:type="dxa"/>
        <w:tblLook w:val="01E0"/>
      </w:tblPr>
      <w:tblGrid>
        <w:gridCol w:w="10348"/>
      </w:tblGrid>
      <w:tr w:rsidR="008C3261" w:rsidRPr="005E13DF" w:rsidTr="00542A21">
        <w:trPr>
          <w:trHeight w:hRule="exact" w:val="11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5E13DF" w:rsidRDefault="008C3261" w:rsidP="00542A21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5E13DF" w:rsidTr="00542A21"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5E13DF" w:rsidRDefault="00585DEF" w:rsidP="00856748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</w:t>
            </w:r>
            <w:r>
              <w:rPr>
                <w:rFonts w:ascii="Tahoma" w:hAnsi="Tahoma" w:cs="Tahoma"/>
                <w:sz w:val="16"/>
              </w:rPr>
              <w:t>te</w:t>
            </w:r>
            <w:r>
              <w:rPr>
                <w:rFonts w:ascii="Tahoma" w:hAnsi="Tahoma" w:cs="Tahoma"/>
                <w:sz w:val="16"/>
                <w:lang w:val="sr-Cyrl-CS"/>
              </w:rPr>
              <w:t>nj</w:t>
            </w:r>
            <w:r>
              <w:rPr>
                <w:rFonts w:ascii="Tahoma" w:hAnsi="Tahoma" w:cs="Tahoma"/>
                <w:sz w:val="16"/>
              </w:rPr>
              <w:t>e</w:t>
            </w:r>
            <w:r w:rsidR="008C3261" w:rsidRPr="005E13DF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pripremilo</w:t>
            </w:r>
            <w:r w:rsidR="008C3261" w:rsidRPr="005E13DF">
              <w:rPr>
                <w:rFonts w:ascii="Tahoma" w:hAnsi="Tahoma" w:cs="Tahoma"/>
                <w:sz w:val="16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odje</w:t>
            </w:r>
            <w:r w:rsidR="00856748">
              <w:rPr>
                <w:rFonts w:ascii="Tahoma" w:hAnsi="Tahoma" w:cs="Tahoma"/>
                <w:sz w:val="16"/>
              </w:rPr>
              <w:t>lj</w:t>
            </w:r>
            <w:r>
              <w:rPr>
                <w:rFonts w:ascii="Tahoma" w:hAnsi="Tahoma" w:cs="Tahoma"/>
                <w:sz w:val="16"/>
                <w:lang w:val="sr-Cyrl-CS"/>
              </w:rPr>
              <w:t>enje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publikacija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</w:p>
        </w:tc>
      </w:tr>
      <w:tr w:rsidR="008C3261" w:rsidRPr="005E13DF" w:rsidTr="00542A21">
        <w:trPr>
          <w:trHeight w:val="1603"/>
        </w:trPr>
        <w:tc>
          <w:tcPr>
            <w:tcW w:w="10348" w:type="dxa"/>
            <w:tcMar>
              <w:left w:w="0" w:type="dxa"/>
              <w:right w:w="0" w:type="dxa"/>
            </w:tcMar>
          </w:tcPr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Vladan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Sibinović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načelnik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odje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>љ</w:t>
            </w:r>
            <w:r>
              <w:rPr>
                <w:rFonts w:ascii="Tahoma" w:hAnsi="Tahoma" w:cs="Tahoma"/>
                <w:sz w:val="16"/>
                <w:lang w:val="ru-RU"/>
              </w:rPr>
              <w:t>enja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Izdaje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Republički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zavod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za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statistiku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>,</w:t>
            </w: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Republika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Srpska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Banja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Luka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, </w:t>
            </w:r>
            <w:r>
              <w:rPr>
                <w:rFonts w:ascii="Tahoma" w:hAnsi="Tahoma" w:cs="Tahoma"/>
                <w:sz w:val="16"/>
                <w:lang w:val="ru-RU"/>
              </w:rPr>
              <w:t>Ve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>љ</w:t>
            </w:r>
            <w:r>
              <w:rPr>
                <w:rFonts w:ascii="Tahoma" w:hAnsi="Tahoma" w:cs="Tahoma"/>
                <w:sz w:val="16"/>
                <w:lang w:val="ru-RU"/>
              </w:rPr>
              <w:t>ka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sz w:val="16"/>
                <w:lang w:val="ru-RU"/>
              </w:rPr>
              <w:t>Mlađenovića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 xml:space="preserve"> 12</w:t>
            </w:r>
            <w:r>
              <w:rPr>
                <w:rFonts w:ascii="Tahoma" w:hAnsi="Tahoma" w:cs="Tahoma"/>
                <w:sz w:val="16"/>
                <w:lang w:val="ru-RU"/>
              </w:rPr>
              <w:t>d</w:t>
            </w: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Dr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Radmila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Čičković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d</w:t>
            </w:r>
            <w:r>
              <w:rPr>
                <w:rFonts w:ascii="Tahoma" w:hAnsi="Tahoma" w:cs="Tahoma"/>
                <w:sz w:val="16"/>
                <w:lang w:val="ru-RU"/>
              </w:rPr>
              <w:t>irektor</w:t>
            </w:r>
            <w:r w:rsidR="008C3261" w:rsidRPr="005E13DF">
              <w:rPr>
                <w:rFonts w:ascii="Tahoma" w:hAnsi="Tahoma" w:cs="Tahoma"/>
                <w:sz w:val="16"/>
                <w:lang w:val="sr-Cyrl-BA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BA"/>
              </w:rPr>
              <w:t>Zavoda</w:t>
            </w: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sr-Cyrl-CS"/>
              </w:rPr>
              <w:t>Saopštenje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je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objav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>љ</w:t>
            </w:r>
            <w:r>
              <w:rPr>
                <w:rFonts w:ascii="Tahoma" w:hAnsi="Tahoma" w:cs="Tahoma"/>
                <w:sz w:val="16"/>
                <w:lang w:val="sr-Cyrl-CS"/>
              </w:rPr>
              <w:t>eno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Internetu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, </w:t>
            </w:r>
            <w:r>
              <w:rPr>
                <w:rFonts w:ascii="Tahoma" w:hAnsi="Tahoma" w:cs="Tahoma"/>
                <w:sz w:val="16"/>
                <w:lang w:val="sr-Cyrl-CS"/>
              </w:rPr>
              <w:t>na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>
              <w:rPr>
                <w:rFonts w:ascii="Tahoma" w:hAnsi="Tahoma" w:cs="Tahoma"/>
                <w:sz w:val="16"/>
                <w:lang w:val="sr-Cyrl-CS"/>
              </w:rPr>
              <w:t>adresi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: 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>
              <w:rPr>
                <w:rFonts w:ascii="Tahoma" w:hAnsi="Tahoma" w:cs="Tahoma"/>
                <w:sz w:val="16"/>
                <w:lang w:val="ru-RU"/>
              </w:rPr>
              <w:t>tel</w:t>
            </w:r>
            <w:r w:rsidR="008C3261" w:rsidRPr="005E13DF">
              <w:rPr>
                <w:rFonts w:ascii="Tahoma" w:hAnsi="Tahoma" w:cs="Tahoma"/>
                <w:sz w:val="16"/>
                <w:lang w:val="ru-RU"/>
              </w:rPr>
              <w:t>. +387 51 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="008C3261" w:rsidRPr="005E13DF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="008C3261" w:rsidRPr="005E13DF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22" w:history="1"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="008C3261" w:rsidRPr="005E13DF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5E13DF" w:rsidRDefault="008C3261" w:rsidP="00542A21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5E13DF" w:rsidRDefault="00585DEF" w:rsidP="00542A21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Prilikom</w:t>
            </w:r>
            <w:r w:rsidR="008C3261" w:rsidRPr="005E13DF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koriš</w:t>
            </w:r>
            <w:r>
              <w:rPr>
                <w:rFonts w:ascii="Tahoma" w:hAnsi="Tahoma" w:cs="Tahoma"/>
                <w:b/>
                <w:bCs/>
                <w:sz w:val="16"/>
                <w:lang w:val="sr-Cyrl-CS"/>
              </w:rPr>
              <w:t>ć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enja</w:t>
            </w:r>
            <w:r w:rsidR="008C3261" w:rsidRPr="005E13DF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podataka</w:t>
            </w:r>
            <w:r w:rsidR="008C3261" w:rsidRPr="005E13DF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obavezno</w:t>
            </w:r>
            <w:r w:rsidR="008C3261" w:rsidRPr="005E13DF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navesti</w:t>
            </w:r>
            <w:r w:rsidR="008C3261" w:rsidRPr="005E13DF">
              <w:rPr>
                <w:rFonts w:ascii="Tahoma" w:hAnsi="Tahoma" w:cs="Tahoma"/>
                <w:b/>
                <w:bCs/>
                <w:sz w:val="16"/>
                <w:lang w:val="ru-RU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6"/>
                <w:lang w:val="ru-RU"/>
              </w:rPr>
              <w:t>izvor</w:t>
            </w:r>
          </w:p>
        </w:tc>
      </w:tr>
    </w:tbl>
    <w:p w:rsidR="008C3261" w:rsidRPr="005E13DF" w:rsidRDefault="00B910C0" w:rsidP="008C3261">
      <w:pPr>
        <w:rPr>
          <w:lang w:val="sr-Cyrl-BA"/>
        </w:rPr>
      </w:pPr>
      <w:r w:rsidRPr="00B910C0">
        <w:rPr>
          <w:noProof/>
          <w:lang w:val="bs-Latn-BA" w:eastAsia="bs-Latn-BA"/>
        </w:rPr>
        <w:pict>
          <v:line id="_x0000_s1057" style="position:absolute;z-index:251655168;mso-position-horizontal-relative:text;mso-position-vertical-relative:text" from="-2.5pt,108.2pt" to="510.5pt,108.2pt" strokecolor="#376ea5" strokeweight="1.5pt"/>
        </w:pict>
      </w:r>
    </w:p>
    <w:p w:rsidR="00657939" w:rsidRPr="005E13DF" w:rsidRDefault="00657939" w:rsidP="008C3261">
      <w:pPr>
        <w:rPr>
          <w:lang w:val="sr-Cyrl-BA"/>
        </w:rPr>
      </w:pPr>
    </w:p>
    <w:sectPr w:rsidR="00657939" w:rsidRPr="005E13DF" w:rsidSect="00EB450E">
      <w:headerReference w:type="default" r:id="rId23"/>
      <w:headerReference w:type="first" r:id="rId24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456B" w:rsidRDefault="003E456B">
      <w:r>
        <w:separator/>
      </w:r>
    </w:p>
  </w:endnote>
  <w:endnote w:type="continuationSeparator" w:id="0">
    <w:p w:rsidR="003E456B" w:rsidRDefault="003E4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456B" w:rsidRDefault="003E456B">
      <w:r>
        <w:separator/>
      </w:r>
    </w:p>
  </w:footnote>
  <w:footnote w:type="continuationSeparator" w:id="0">
    <w:p w:rsidR="003E456B" w:rsidRDefault="003E45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DB54DA" w:rsidTr="009665BA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DB54DA" w:rsidRDefault="00585DEF" w:rsidP="009665B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Republički</w:t>
          </w:r>
          <w:r w:rsidR="00DB54DA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zavod</w:t>
          </w:r>
          <w:r w:rsidR="00DB54DA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za</w:t>
          </w:r>
          <w:r w:rsidR="00DB54DA"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statistiku</w:t>
          </w:r>
        </w:p>
        <w:p w:rsidR="00DB54DA" w:rsidRPr="00460A5B" w:rsidRDefault="00585DEF" w:rsidP="009665BA">
          <w:pPr>
            <w:pStyle w:val="Header"/>
            <w:rPr>
              <w:color w:val="FFFFFF"/>
              <w:lang w:val="ru-RU"/>
            </w:rPr>
          </w:pPr>
          <w:r>
            <w:rPr>
              <w:rFonts w:ascii="Tahoma" w:hAnsi="Tahoma" w:cs="Tahoma"/>
              <w:b/>
              <w:color w:val="FFFFFF"/>
              <w:lang w:val="sr-Cyrl-BA"/>
            </w:rPr>
            <w:t>SAOPŠTENjE</w:t>
          </w:r>
          <w:r w:rsidR="00DB54DA" w:rsidRPr="002B0900">
            <w:rPr>
              <w:rFonts w:ascii="Tahoma" w:hAnsi="Tahoma" w:cs="Tahoma"/>
              <w:b/>
              <w:color w:val="FFFFFF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lang w:val="sr-Cyrl-BA"/>
            </w:rPr>
            <w:t>ZA</w:t>
          </w:r>
          <w:r w:rsidR="00DB54DA" w:rsidRPr="002B0900">
            <w:rPr>
              <w:rFonts w:ascii="Tahoma" w:hAnsi="Tahoma" w:cs="Tahoma"/>
              <w:b/>
              <w:color w:val="FFFFFF"/>
              <w:lang w:val="sr-Cyrl-BA"/>
            </w:rPr>
            <w:t xml:space="preserve"> </w:t>
          </w:r>
          <w:r>
            <w:rPr>
              <w:rFonts w:ascii="Tahoma" w:hAnsi="Tahoma" w:cs="Tahoma"/>
              <w:b/>
              <w:color w:val="FFFFFF"/>
              <w:lang w:val="sr-Cyrl-BA"/>
            </w:rPr>
            <w:t>MEDIJE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DB54DA" w:rsidRPr="005D5311" w:rsidRDefault="00DB54DA" w:rsidP="00CF0EA0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 w:rsidR="00CF0EA0">
            <w:rPr>
              <w:rFonts w:ascii="Tahoma" w:hAnsi="Tahoma" w:cs="Tahoma"/>
              <w:color w:val="0070C0"/>
              <w:sz w:val="16"/>
            </w:rPr>
            <w:t>19</w:t>
          </w:r>
          <w:r w:rsidR="001B4D57">
            <w:rPr>
              <w:rFonts w:ascii="Tahoma" w:hAnsi="Tahoma" w:cs="Tahoma"/>
              <w:color w:val="0070C0"/>
              <w:sz w:val="16"/>
              <w:lang w:val="bs-Cyrl-BA"/>
            </w:rPr>
            <w:t xml:space="preserve">. </w:t>
          </w:r>
          <w:r w:rsidR="00585DEF">
            <w:rPr>
              <w:rFonts w:ascii="Tahoma" w:hAnsi="Tahoma" w:cs="Tahoma"/>
              <w:color w:val="0070C0"/>
              <w:sz w:val="16"/>
              <w:lang w:val="bs-Cyrl-BA"/>
            </w:rPr>
            <w:t>jul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 w:rsidR="001B4D57"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7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</w:t>
          </w:r>
          <w:r w:rsidR="00B910C0" w:rsidRPr="00774D67">
            <w:rPr>
              <w:rStyle w:val="PageNumber"/>
              <w:rFonts w:ascii="Tahoma" w:hAnsi="Tahoma"/>
              <w:b/>
              <w:color w:val="0070C0"/>
            </w:rPr>
            <w:fldChar w:fldCharType="begin"/>
          </w:r>
          <w:r w:rsidRPr="00774D67">
            <w:rPr>
              <w:rStyle w:val="PageNumber"/>
              <w:rFonts w:ascii="Tahoma" w:hAnsi="Tahoma"/>
              <w:b/>
              <w:color w:val="0070C0"/>
            </w:rPr>
            <w:instrText xml:space="preserve"> PAGE </w:instrText>
          </w:r>
          <w:r w:rsidR="00B910C0" w:rsidRPr="00774D67">
            <w:rPr>
              <w:rStyle w:val="PageNumber"/>
              <w:rFonts w:ascii="Tahoma" w:hAnsi="Tahoma"/>
              <w:b/>
              <w:color w:val="0070C0"/>
            </w:rPr>
            <w:fldChar w:fldCharType="separate"/>
          </w:r>
          <w:r w:rsidR="00856748">
            <w:rPr>
              <w:rStyle w:val="PageNumber"/>
              <w:rFonts w:ascii="Tahoma" w:hAnsi="Tahoma"/>
              <w:b/>
              <w:noProof/>
              <w:color w:val="0070C0"/>
            </w:rPr>
            <w:t>7</w:t>
          </w:r>
          <w:r w:rsidR="00B910C0" w:rsidRPr="00774D67">
            <w:rPr>
              <w:rStyle w:val="PageNumber"/>
              <w:rFonts w:ascii="Tahoma" w:hAnsi="Tahoma"/>
              <w:b/>
              <w:color w:val="0070C0"/>
            </w:rPr>
            <w:fldChar w:fldCharType="end"/>
          </w:r>
        </w:p>
      </w:tc>
    </w:tr>
  </w:tbl>
  <w:p w:rsidR="00EB450E" w:rsidRDefault="00EB450E" w:rsidP="006D0CE1">
    <w:pPr>
      <w:pStyle w:val="Header"/>
      <w:ind w:right="360"/>
      <w:rPr>
        <w:rFonts w:ascii="Tahoma" w:hAnsi="Tahoma" w:cs="Tahoma"/>
        <w:sz w:val="16"/>
        <w:lang w:val="sr-Latn-C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87853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EB450E" w:rsidRPr="00EB450E" w:rsidRDefault="00B910C0">
        <w:pPr>
          <w:pStyle w:val="Header"/>
          <w:jc w:val="right"/>
          <w:rPr>
            <w:color w:val="FFFFFF" w:themeColor="background1"/>
          </w:rPr>
        </w:pPr>
        <w:r w:rsidRPr="00EB450E">
          <w:rPr>
            <w:color w:val="FFFFFF" w:themeColor="background1"/>
          </w:rPr>
          <w:fldChar w:fldCharType="begin"/>
        </w:r>
        <w:r w:rsidR="00EB450E" w:rsidRPr="00EB450E">
          <w:rPr>
            <w:color w:val="FFFFFF" w:themeColor="background1"/>
          </w:rPr>
          <w:instrText xml:space="preserve"> PAGE   \* MERGEFORMAT </w:instrText>
        </w:r>
        <w:r w:rsidRPr="00EB450E">
          <w:rPr>
            <w:color w:val="FFFFFF" w:themeColor="background1"/>
          </w:rPr>
          <w:fldChar w:fldCharType="separate"/>
        </w:r>
        <w:r w:rsidR="00856748">
          <w:rPr>
            <w:noProof/>
            <w:color w:val="FFFFFF" w:themeColor="background1"/>
          </w:rPr>
          <w:t>1</w:t>
        </w:r>
        <w:r w:rsidRPr="00EB450E">
          <w:rPr>
            <w:color w:val="FFFFFF" w:themeColor="background1"/>
          </w:rPr>
          <w:fldChar w:fldCharType="end"/>
        </w:r>
      </w:p>
    </w:sdtContent>
  </w:sdt>
  <w:p w:rsidR="00EB450E" w:rsidRDefault="00EB450E">
    <w:pPr>
      <w:pStyle w:val="Header"/>
    </w:pPr>
  </w:p>
  <w:p w:rsidR="00DB54DA" w:rsidRDefault="00DB54D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proofState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6081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97F"/>
    <w:rsid w:val="000110A0"/>
    <w:rsid w:val="00011F10"/>
    <w:rsid w:val="00016342"/>
    <w:rsid w:val="00016ABE"/>
    <w:rsid w:val="00016B4C"/>
    <w:rsid w:val="00017392"/>
    <w:rsid w:val="00017432"/>
    <w:rsid w:val="00017E51"/>
    <w:rsid w:val="00017F0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7D1"/>
    <w:rsid w:val="00026A26"/>
    <w:rsid w:val="00026EC6"/>
    <w:rsid w:val="00027282"/>
    <w:rsid w:val="00030356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1BB"/>
    <w:rsid w:val="00044205"/>
    <w:rsid w:val="00044D24"/>
    <w:rsid w:val="00045665"/>
    <w:rsid w:val="00045BC2"/>
    <w:rsid w:val="0004709E"/>
    <w:rsid w:val="0004724E"/>
    <w:rsid w:val="00047312"/>
    <w:rsid w:val="00050308"/>
    <w:rsid w:val="00050457"/>
    <w:rsid w:val="00051051"/>
    <w:rsid w:val="00051B7E"/>
    <w:rsid w:val="00051C70"/>
    <w:rsid w:val="00052187"/>
    <w:rsid w:val="00052327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8D4"/>
    <w:rsid w:val="00066F46"/>
    <w:rsid w:val="00067191"/>
    <w:rsid w:val="00067651"/>
    <w:rsid w:val="000677B4"/>
    <w:rsid w:val="00070140"/>
    <w:rsid w:val="00070149"/>
    <w:rsid w:val="00070643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5CAF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4A3A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A26"/>
    <w:rsid w:val="000B307B"/>
    <w:rsid w:val="000B3187"/>
    <w:rsid w:val="000B31F2"/>
    <w:rsid w:val="000B3234"/>
    <w:rsid w:val="000B3778"/>
    <w:rsid w:val="000B3FE7"/>
    <w:rsid w:val="000B4D34"/>
    <w:rsid w:val="000B5A3B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18E"/>
    <w:rsid w:val="000C3E52"/>
    <w:rsid w:val="000C3E57"/>
    <w:rsid w:val="000C478D"/>
    <w:rsid w:val="000C6A1A"/>
    <w:rsid w:val="000C7878"/>
    <w:rsid w:val="000C7AFA"/>
    <w:rsid w:val="000C7B20"/>
    <w:rsid w:val="000C7C89"/>
    <w:rsid w:val="000C7E48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39A"/>
    <w:rsid w:val="000D498D"/>
    <w:rsid w:val="000D4C0D"/>
    <w:rsid w:val="000D4C8C"/>
    <w:rsid w:val="000D58F4"/>
    <w:rsid w:val="000D5A0D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C83"/>
    <w:rsid w:val="000E7FE3"/>
    <w:rsid w:val="000F0E12"/>
    <w:rsid w:val="000F0E43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100507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46CD"/>
    <w:rsid w:val="00104805"/>
    <w:rsid w:val="00104CCC"/>
    <w:rsid w:val="001053AA"/>
    <w:rsid w:val="00105840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867"/>
    <w:rsid w:val="001319D1"/>
    <w:rsid w:val="00131A13"/>
    <w:rsid w:val="00131DB6"/>
    <w:rsid w:val="00131F92"/>
    <w:rsid w:val="00132097"/>
    <w:rsid w:val="0013251C"/>
    <w:rsid w:val="00132B0B"/>
    <w:rsid w:val="00132C4D"/>
    <w:rsid w:val="00132DC0"/>
    <w:rsid w:val="00133307"/>
    <w:rsid w:val="00133656"/>
    <w:rsid w:val="001336C0"/>
    <w:rsid w:val="00133944"/>
    <w:rsid w:val="00133A21"/>
    <w:rsid w:val="00133CDB"/>
    <w:rsid w:val="0013420E"/>
    <w:rsid w:val="001342E2"/>
    <w:rsid w:val="001343EF"/>
    <w:rsid w:val="00134484"/>
    <w:rsid w:val="00134E6F"/>
    <w:rsid w:val="001359AE"/>
    <w:rsid w:val="001361D7"/>
    <w:rsid w:val="001364A2"/>
    <w:rsid w:val="001364A4"/>
    <w:rsid w:val="001368CA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4CB0"/>
    <w:rsid w:val="001454C5"/>
    <w:rsid w:val="00145EED"/>
    <w:rsid w:val="0014652C"/>
    <w:rsid w:val="0014660D"/>
    <w:rsid w:val="00147410"/>
    <w:rsid w:val="00147664"/>
    <w:rsid w:val="00147BC2"/>
    <w:rsid w:val="001502E4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3A9B"/>
    <w:rsid w:val="00164E59"/>
    <w:rsid w:val="001655F9"/>
    <w:rsid w:val="001658E6"/>
    <w:rsid w:val="001658F6"/>
    <w:rsid w:val="00165FE9"/>
    <w:rsid w:val="001664E5"/>
    <w:rsid w:val="00167333"/>
    <w:rsid w:val="001700D8"/>
    <w:rsid w:val="001702DD"/>
    <w:rsid w:val="001704AA"/>
    <w:rsid w:val="0017077B"/>
    <w:rsid w:val="00171709"/>
    <w:rsid w:val="00171CD1"/>
    <w:rsid w:val="0017306E"/>
    <w:rsid w:val="0017378C"/>
    <w:rsid w:val="001738F6"/>
    <w:rsid w:val="00173B0A"/>
    <w:rsid w:val="00174435"/>
    <w:rsid w:val="00175B35"/>
    <w:rsid w:val="00175BDF"/>
    <w:rsid w:val="00175CA0"/>
    <w:rsid w:val="00175CC5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F3E"/>
    <w:rsid w:val="00183FBA"/>
    <w:rsid w:val="001845F2"/>
    <w:rsid w:val="00184CE0"/>
    <w:rsid w:val="00185169"/>
    <w:rsid w:val="0018579D"/>
    <w:rsid w:val="00186821"/>
    <w:rsid w:val="001868B0"/>
    <w:rsid w:val="001871A5"/>
    <w:rsid w:val="001872B7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26F"/>
    <w:rsid w:val="001A0CB0"/>
    <w:rsid w:val="001A0D93"/>
    <w:rsid w:val="001A164F"/>
    <w:rsid w:val="001A1708"/>
    <w:rsid w:val="001A1B78"/>
    <w:rsid w:val="001A2C11"/>
    <w:rsid w:val="001A2F5F"/>
    <w:rsid w:val="001A34F5"/>
    <w:rsid w:val="001A35D4"/>
    <w:rsid w:val="001A3906"/>
    <w:rsid w:val="001A3F95"/>
    <w:rsid w:val="001A4B3B"/>
    <w:rsid w:val="001A4DFA"/>
    <w:rsid w:val="001A514E"/>
    <w:rsid w:val="001A66C4"/>
    <w:rsid w:val="001A694C"/>
    <w:rsid w:val="001A7EB6"/>
    <w:rsid w:val="001B04F0"/>
    <w:rsid w:val="001B078A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6F1"/>
    <w:rsid w:val="001B32B9"/>
    <w:rsid w:val="001B3372"/>
    <w:rsid w:val="001B35E4"/>
    <w:rsid w:val="001B3F32"/>
    <w:rsid w:val="001B4666"/>
    <w:rsid w:val="001B4963"/>
    <w:rsid w:val="001B4B15"/>
    <w:rsid w:val="001B4D57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D40"/>
    <w:rsid w:val="001C453E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9D3"/>
    <w:rsid w:val="001E4C45"/>
    <w:rsid w:val="001E50D4"/>
    <w:rsid w:val="001E664D"/>
    <w:rsid w:val="001E6CEF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019"/>
    <w:rsid w:val="001F5630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5D07"/>
    <w:rsid w:val="00206767"/>
    <w:rsid w:val="0020707B"/>
    <w:rsid w:val="002072A1"/>
    <w:rsid w:val="002079B7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B1A"/>
    <w:rsid w:val="00216DAA"/>
    <w:rsid w:val="00216E68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7CD"/>
    <w:rsid w:val="00236968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CC"/>
    <w:rsid w:val="002432EC"/>
    <w:rsid w:val="002433B0"/>
    <w:rsid w:val="002438E0"/>
    <w:rsid w:val="00244668"/>
    <w:rsid w:val="002448CE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368"/>
    <w:rsid w:val="00270462"/>
    <w:rsid w:val="0027151F"/>
    <w:rsid w:val="00271A5A"/>
    <w:rsid w:val="0027269C"/>
    <w:rsid w:val="00272A1A"/>
    <w:rsid w:val="00272E9A"/>
    <w:rsid w:val="00272FE5"/>
    <w:rsid w:val="0027310B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D51"/>
    <w:rsid w:val="00282F33"/>
    <w:rsid w:val="00283136"/>
    <w:rsid w:val="0028333A"/>
    <w:rsid w:val="002833DF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CBC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513E"/>
    <w:rsid w:val="002A5D3A"/>
    <w:rsid w:val="002A5EF6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70A"/>
    <w:rsid w:val="002C192E"/>
    <w:rsid w:val="002C1AD3"/>
    <w:rsid w:val="002C1EA1"/>
    <w:rsid w:val="002C21AB"/>
    <w:rsid w:val="002C27B5"/>
    <w:rsid w:val="002C284A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D41"/>
    <w:rsid w:val="002C5FF5"/>
    <w:rsid w:val="002C6753"/>
    <w:rsid w:val="002C6F3E"/>
    <w:rsid w:val="002C6FF2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A5B"/>
    <w:rsid w:val="002D300C"/>
    <w:rsid w:val="002D35C4"/>
    <w:rsid w:val="002D3B87"/>
    <w:rsid w:val="002D3C28"/>
    <w:rsid w:val="002D3D1C"/>
    <w:rsid w:val="002D4997"/>
    <w:rsid w:val="002D5BBD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AED"/>
    <w:rsid w:val="002E2F11"/>
    <w:rsid w:val="002E2F2D"/>
    <w:rsid w:val="002E38F9"/>
    <w:rsid w:val="002E3C33"/>
    <w:rsid w:val="002E43B3"/>
    <w:rsid w:val="002E45EC"/>
    <w:rsid w:val="002E58CD"/>
    <w:rsid w:val="002E5B75"/>
    <w:rsid w:val="002E61A6"/>
    <w:rsid w:val="002E651F"/>
    <w:rsid w:val="002E66C9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AA1"/>
    <w:rsid w:val="002F5E38"/>
    <w:rsid w:val="002F6671"/>
    <w:rsid w:val="002F67AB"/>
    <w:rsid w:val="002F6D01"/>
    <w:rsid w:val="002F719F"/>
    <w:rsid w:val="002F75F0"/>
    <w:rsid w:val="002F76D1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30A"/>
    <w:rsid w:val="003013C3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7D2"/>
    <w:rsid w:val="00311BD9"/>
    <w:rsid w:val="00311DEF"/>
    <w:rsid w:val="00311EF4"/>
    <w:rsid w:val="00312235"/>
    <w:rsid w:val="00312525"/>
    <w:rsid w:val="003125D6"/>
    <w:rsid w:val="0031263A"/>
    <w:rsid w:val="0031309F"/>
    <w:rsid w:val="0031327E"/>
    <w:rsid w:val="003136BF"/>
    <w:rsid w:val="00313836"/>
    <w:rsid w:val="00313843"/>
    <w:rsid w:val="00313D98"/>
    <w:rsid w:val="0031435D"/>
    <w:rsid w:val="00314EDA"/>
    <w:rsid w:val="003165C6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DC4"/>
    <w:rsid w:val="003251B6"/>
    <w:rsid w:val="00325262"/>
    <w:rsid w:val="00326011"/>
    <w:rsid w:val="00326D60"/>
    <w:rsid w:val="00327191"/>
    <w:rsid w:val="00327635"/>
    <w:rsid w:val="00327997"/>
    <w:rsid w:val="00327AE7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360"/>
    <w:rsid w:val="00342909"/>
    <w:rsid w:val="003430D9"/>
    <w:rsid w:val="00343FDF"/>
    <w:rsid w:val="0034462C"/>
    <w:rsid w:val="00345A7C"/>
    <w:rsid w:val="00345E26"/>
    <w:rsid w:val="00346D1E"/>
    <w:rsid w:val="00346E91"/>
    <w:rsid w:val="00347088"/>
    <w:rsid w:val="003472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BA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276B"/>
    <w:rsid w:val="00372FAD"/>
    <w:rsid w:val="00373311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29C"/>
    <w:rsid w:val="003802FC"/>
    <w:rsid w:val="0038091E"/>
    <w:rsid w:val="00380A07"/>
    <w:rsid w:val="00380A46"/>
    <w:rsid w:val="00380C0A"/>
    <w:rsid w:val="00380EA5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D75"/>
    <w:rsid w:val="00394DDE"/>
    <w:rsid w:val="0039534B"/>
    <w:rsid w:val="00395878"/>
    <w:rsid w:val="003961DF"/>
    <w:rsid w:val="0039672B"/>
    <w:rsid w:val="00396B37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BA1"/>
    <w:rsid w:val="003A7D4A"/>
    <w:rsid w:val="003B0B35"/>
    <w:rsid w:val="003B0DFC"/>
    <w:rsid w:val="003B111A"/>
    <w:rsid w:val="003B111E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66DD"/>
    <w:rsid w:val="003B6801"/>
    <w:rsid w:val="003B6F53"/>
    <w:rsid w:val="003B71D7"/>
    <w:rsid w:val="003B74FC"/>
    <w:rsid w:val="003C003A"/>
    <w:rsid w:val="003C0587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E66"/>
    <w:rsid w:val="003C6F71"/>
    <w:rsid w:val="003C73E2"/>
    <w:rsid w:val="003C7809"/>
    <w:rsid w:val="003C7F17"/>
    <w:rsid w:val="003C7FCB"/>
    <w:rsid w:val="003D0153"/>
    <w:rsid w:val="003D0397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FE0"/>
    <w:rsid w:val="003D5248"/>
    <w:rsid w:val="003D6043"/>
    <w:rsid w:val="003D6262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BA1"/>
    <w:rsid w:val="003E2C14"/>
    <w:rsid w:val="003E3A26"/>
    <w:rsid w:val="003E3B6B"/>
    <w:rsid w:val="003E412B"/>
    <w:rsid w:val="003E456B"/>
    <w:rsid w:val="003E49F9"/>
    <w:rsid w:val="003E4C57"/>
    <w:rsid w:val="003E4CE7"/>
    <w:rsid w:val="003E52C8"/>
    <w:rsid w:val="003E5E54"/>
    <w:rsid w:val="003E5FB2"/>
    <w:rsid w:val="003E6751"/>
    <w:rsid w:val="003E793A"/>
    <w:rsid w:val="003F02D9"/>
    <w:rsid w:val="003F0CE8"/>
    <w:rsid w:val="003F0D72"/>
    <w:rsid w:val="003F0E9A"/>
    <w:rsid w:val="003F14E1"/>
    <w:rsid w:val="003F1C1E"/>
    <w:rsid w:val="003F3434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36E"/>
    <w:rsid w:val="0041578C"/>
    <w:rsid w:val="00415CCF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613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513A"/>
    <w:rsid w:val="0043521E"/>
    <w:rsid w:val="004352D1"/>
    <w:rsid w:val="00435439"/>
    <w:rsid w:val="00436051"/>
    <w:rsid w:val="00436066"/>
    <w:rsid w:val="0043662E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AA0"/>
    <w:rsid w:val="00443172"/>
    <w:rsid w:val="00443456"/>
    <w:rsid w:val="0044451E"/>
    <w:rsid w:val="00444766"/>
    <w:rsid w:val="00444C56"/>
    <w:rsid w:val="00445324"/>
    <w:rsid w:val="004459B2"/>
    <w:rsid w:val="00445CA0"/>
    <w:rsid w:val="00446322"/>
    <w:rsid w:val="004470E3"/>
    <w:rsid w:val="00447529"/>
    <w:rsid w:val="0044764F"/>
    <w:rsid w:val="0044767E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6013D"/>
    <w:rsid w:val="00460578"/>
    <w:rsid w:val="00460A5B"/>
    <w:rsid w:val="00460B18"/>
    <w:rsid w:val="00461655"/>
    <w:rsid w:val="004618F7"/>
    <w:rsid w:val="00461A1C"/>
    <w:rsid w:val="00462AD1"/>
    <w:rsid w:val="00462B54"/>
    <w:rsid w:val="00462DD2"/>
    <w:rsid w:val="0046323F"/>
    <w:rsid w:val="004632B1"/>
    <w:rsid w:val="00463674"/>
    <w:rsid w:val="00463D57"/>
    <w:rsid w:val="00464858"/>
    <w:rsid w:val="00464A3B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0E89"/>
    <w:rsid w:val="00471D80"/>
    <w:rsid w:val="00471D9A"/>
    <w:rsid w:val="004726CC"/>
    <w:rsid w:val="00472AC0"/>
    <w:rsid w:val="004731DD"/>
    <w:rsid w:val="00473439"/>
    <w:rsid w:val="00473BA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11E"/>
    <w:rsid w:val="004936AD"/>
    <w:rsid w:val="00493B19"/>
    <w:rsid w:val="004951FA"/>
    <w:rsid w:val="00495922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FB6"/>
    <w:rsid w:val="004A4297"/>
    <w:rsid w:val="004A4464"/>
    <w:rsid w:val="004A44CF"/>
    <w:rsid w:val="004A4A8A"/>
    <w:rsid w:val="004A4DA5"/>
    <w:rsid w:val="004A5044"/>
    <w:rsid w:val="004A52B9"/>
    <w:rsid w:val="004A5908"/>
    <w:rsid w:val="004A5DD0"/>
    <w:rsid w:val="004A5F34"/>
    <w:rsid w:val="004A6092"/>
    <w:rsid w:val="004A62E8"/>
    <w:rsid w:val="004A632A"/>
    <w:rsid w:val="004A6BC5"/>
    <w:rsid w:val="004A6F0D"/>
    <w:rsid w:val="004A7E87"/>
    <w:rsid w:val="004A7EAC"/>
    <w:rsid w:val="004B06A2"/>
    <w:rsid w:val="004B0748"/>
    <w:rsid w:val="004B0B25"/>
    <w:rsid w:val="004B1A8F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A28"/>
    <w:rsid w:val="004D5DF5"/>
    <w:rsid w:val="004D6CF1"/>
    <w:rsid w:val="004D703F"/>
    <w:rsid w:val="004D711C"/>
    <w:rsid w:val="004D740C"/>
    <w:rsid w:val="004D7803"/>
    <w:rsid w:val="004D7874"/>
    <w:rsid w:val="004E03E4"/>
    <w:rsid w:val="004E0439"/>
    <w:rsid w:val="004E0457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3444"/>
    <w:rsid w:val="004E3C07"/>
    <w:rsid w:val="004E3C09"/>
    <w:rsid w:val="004E3DAF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C7B"/>
    <w:rsid w:val="005012BF"/>
    <w:rsid w:val="00501F39"/>
    <w:rsid w:val="00502830"/>
    <w:rsid w:val="005029D8"/>
    <w:rsid w:val="00503CCF"/>
    <w:rsid w:val="00503EDA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3CC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6B1"/>
    <w:rsid w:val="00516766"/>
    <w:rsid w:val="005172FA"/>
    <w:rsid w:val="005175CC"/>
    <w:rsid w:val="005179D8"/>
    <w:rsid w:val="00520250"/>
    <w:rsid w:val="00521B73"/>
    <w:rsid w:val="00521E1B"/>
    <w:rsid w:val="0052236A"/>
    <w:rsid w:val="005226CB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0CD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E92"/>
    <w:rsid w:val="0053507F"/>
    <w:rsid w:val="00535D1B"/>
    <w:rsid w:val="00535F61"/>
    <w:rsid w:val="0053601B"/>
    <w:rsid w:val="005367D2"/>
    <w:rsid w:val="005369AB"/>
    <w:rsid w:val="005369FD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42C"/>
    <w:rsid w:val="00552635"/>
    <w:rsid w:val="00552702"/>
    <w:rsid w:val="00552F07"/>
    <w:rsid w:val="00553690"/>
    <w:rsid w:val="0055398D"/>
    <w:rsid w:val="00553BE9"/>
    <w:rsid w:val="005540B3"/>
    <w:rsid w:val="005541DB"/>
    <w:rsid w:val="00554BC4"/>
    <w:rsid w:val="00554EB1"/>
    <w:rsid w:val="00554FBE"/>
    <w:rsid w:val="005554A7"/>
    <w:rsid w:val="0055618E"/>
    <w:rsid w:val="005562EB"/>
    <w:rsid w:val="0055637A"/>
    <w:rsid w:val="00556772"/>
    <w:rsid w:val="00556B00"/>
    <w:rsid w:val="00556B7D"/>
    <w:rsid w:val="00556D66"/>
    <w:rsid w:val="0055760C"/>
    <w:rsid w:val="00557617"/>
    <w:rsid w:val="00557674"/>
    <w:rsid w:val="00557E67"/>
    <w:rsid w:val="005604A5"/>
    <w:rsid w:val="00560BDF"/>
    <w:rsid w:val="00561AA3"/>
    <w:rsid w:val="00561BF5"/>
    <w:rsid w:val="005625D1"/>
    <w:rsid w:val="0056310F"/>
    <w:rsid w:val="0056314D"/>
    <w:rsid w:val="0056390F"/>
    <w:rsid w:val="00563BE0"/>
    <w:rsid w:val="00563D38"/>
    <w:rsid w:val="00563EB4"/>
    <w:rsid w:val="00563EEC"/>
    <w:rsid w:val="00564204"/>
    <w:rsid w:val="00564A89"/>
    <w:rsid w:val="00564C0D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C88"/>
    <w:rsid w:val="0057142A"/>
    <w:rsid w:val="00571759"/>
    <w:rsid w:val="00571C36"/>
    <w:rsid w:val="005720D7"/>
    <w:rsid w:val="00572295"/>
    <w:rsid w:val="00572877"/>
    <w:rsid w:val="0057322B"/>
    <w:rsid w:val="00573627"/>
    <w:rsid w:val="00573801"/>
    <w:rsid w:val="005749A2"/>
    <w:rsid w:val="005769D8"/>
    <w:rsid w:val="00576C77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5DEF"/>
    <w:rsid w:val="005869D2"/>
    <w:rsid w:val="00586A11"/>
    <w:rsid w:val="00586AAF"/>
    <w:rsid w:val="00586AE3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4A0"/>
    <w:rsid w:val="005A1706"/>
    <w:rsid w:val="005A18B0"/>
    <w:rsid w:val="005A1EEF"/>
    <w:rsid w:val="005A25E1"/>
    <w:rsid w:val="005A2DAC"/>
    <w:rsid w:val="005A30DF"/>
    <w:rsid w:val="005A331E"/>
    <w:rsid w:val="005A3FC7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47B"/>
    <w:rsid w:val="005B622F"/>
    <w:rsid w:val="005B69FC"/>
    <w:rsid w:val="005C0430"/>
    <w:rsid w:val="005C092E"/>
    <w:rsid w:val="005C0B77"/>
    <w:rsid w:val="005C0FD7"/>
    <w:rsid w:val="005C12D7"/>
    <w:rsid w:val="005C20E2"/>
    <w:rsid w:val="005C230F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B67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3A2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3DF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90C"/>
    <w:rsid w:val="005F0733"/>
    <w:rsid w:val="005F0A6A"/>
    <w:rsid w:val="005F0AE8"/>
    <w:rsid w:val="005F0CE8"/>
    <w:rsid w:val="005F14A0"/>
    <w:rsid w:val="005F3049"/>
    <w:rsid w:val="005F3130"/>
    <w:rsid w:val="005F3A70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6F"/>
    <w:rsid w:val="006036C9"/>
    <w:rsid w:val="0060437B"/>
    <w:rsid w:val="00604D9E"/>
    <w:rsid w:val="00604FF7"/>
    <w:rsid w:val="00605015"/>
    <w:rsid w:val="00605474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256C"/>
    <w:rsid w:val="006136CB"/>
    <w:rsid w:val="0061438B"/>
    <w:rsid w:val="00614497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F70"/>
    <w:rsid w:val="00626270"/>
    <w:rsid w:val="006268EA"/>
    <w:rsid w:val="00626CC8"/>
    <w:rsid w:val="00627AE8"/>
    <w:rsid w:val="00627CD1"/>
    <w:rsid w:val="00627F78"/>
    <w:rsid w:val="006309EA"/>
    <w:rsid w:val="00631FAD"/>
    <w:rsid w:val="00632574"/>
    <w:rsid w:val="00632A5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8AD"/>
    <w:rsid w:val="00647A25"/>
    <w:rsid w:val="006506E1"/>
    <w:rsid w:val="0065131E"/>
    <w:rsid w:val="00651DDC"/>
    <w:rsid w:val="006520C9"/>
    <w:rsid w:val="0065239C"/>
    <w:rsid w:val="00652720"/>
    <w:rsid w:val="00652E2C"/>
    <w:rsid w:val="00653430"/>
    <w:rsid w:val="006535D4"/>
    <w:rsid w:val="00653F7D"/>
    <w:rsid w:val="00653FBA"/>
    <w:rsid w:val="0065447D"/>
    <w:rsid w:val="00654E7C"/>
    <w:rsid w:val="00655176"/>
    <w:rsid w:val="00655652"/>
    <w:rsid w:val="00655994"/>
    <w:rsid w:val="00655C13"/>
    <w:rsid w:val="006568D5"/>
    <w:rsid w:val="00656ED0"/>
    <w:rsid w:val="006570BB"/>
    <w:rsid w:val="0065774D"/>
    <w:rsid w:val="00657939"/>
    <w:rsid w:val="00660A85"/>
    <w:rsid w:val="00661850"/>
    <w:rsid w:val="00662052"/>
    <w:rsid w:val="00662279"/>
    <w:rsid w:val="00662BCD"/>
    <w:rsid w:val="00662D61"/>
    <w:rsid w:val="00662E60"/>
    <w:rsid w:val="0066355A"/>
    <w:rsid w:val="00663D7F"/>
    <w:rsid w:val="00663F86"/>
    <w:rsid w:val="00664BB8"/>
    <w:rsid w:val="00664CCF"/>
    <w:rsid w:val="0066513E"/>
    <w:rsid w:val="0066522F"/>
    <w:rsid w:val="00665525"/>
    <w:rsid w:val="00665E25"/>
    <w:rsid w:val="0066624B"/>
    <w:rsid w:val="00666AD9"/>
    <w:rsid w:val="00666BEA"/>
    <w:rsid w:val="006670C1"/>
    <w:rsid w:val="006671E8"/>
    <w:rsid w:val="00667330"/>
    <w:rsid w:val="00667BF9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21F"/>
    <w:rsid w:val="0067771F"/>
    <w:rsid w:val="00677996"/>
    <w:rsid w:val="00677BBB"/>
    <w:rsid w:val="00680125"/>
    <w:rsid w:val="00680200"/>
    <w:rsid w:val="00680471"/>
    <w:rsid w:val="00680DCA"/>
    <w:rsid w:val="00681670"/>
    <w:rsid w:val="00681B4A"/>
    <w:rsid w:val="00683B94"/>
    <w:rsid w:val="00683CE3"/>
    <w:rsid w:val="006840D4"/>
    <w:rsid w:val="0068468C"/>
    <w:rsid w:val="00684A69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29A"/>
    <w:rsid w:val="00691D0F"/>
    <w:rsid w:val="00693032"/>
    <w:rsid w:val="0069331D"/>
    <w:rsid w:val="00693412"/>
    <w:rsid w:val="006935B5"/>
    <w:rsid w:val="00693F16"/>
    <w:rsid w:val="006950C8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F1B"/>
    <w:rsid w:val="006B14C2"/>
    <w:rsid w:val="006B17A5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2231"/>
    <w:rsid w:val="006C33B8"/>
    <w:rsid w:val="006C3A6D"/>
    <w:rsid w:val="006C3CBA"/>
    <w:rsid w:val="006C3D7C"/>
    <w:rsid w:val="006C3E4C"/>
    <w:rsid w:val="006C4080"/>
    <w:rsid w:val="006C464C"/>
    <w:rsid w:val="006C4C01"/>
    <w:rsid w:val="006C4CE7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79C"/>
    <w:rsid w:val="006D0B1A"/>
    <w:rsid w:val="006D0CE1"/>
    <w:rsid w:val="006D0D39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56"/>
    <w:rsid w:val="006E60C8"/>
    <w:rsid w:val="006E6696"/>
    <w:rsid w:val="006E6A73"/>
    <w:rsid w:val="006E6FA3"/>
    <w:rsid w:val="006E7844"/>
    <w:rsid w:val="006E7B4D"/>
    <w:rsid w:val="006E7FF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AEE"/>
    <w:rsid w:val="006F6C22"/>
    <w:rsid w:val="006F6C7B"/>
    <w:rsid w:val="006F73B0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6943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B7A"/>
    <w:rsid w:val="00753F40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364"/>
    <w:rsid w:val="00765F6A"/>
    <w:rsid w:val="00765F97"/>
    <w:rsid w:val="00766038"/>
    <w:rsid w:val="00766057"/>
    <w:rsid w:val="00766F45"/>
    <w:rsid w:val="007670F4"/>
    <w:rsid w:val="00767708"/>
    <w:rsid w:val="0077080D"/>
    <w:rsid w:val="00770D6D"/>
    <w:rsid w:val="00771020"/>
    <w:rsid w:val="0077193C"/>
    <w:rsid w:val="0077218B"/>
    <w:rsid w:val="007721FA"/>
    <w:rsid w:val="007723AB"/>
    <w:rsid w:val="0077257D"/>
    <w:rsid w:val="007727D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A6F"/>
    <w:rsid w:val="00785EDB"/>
    <w:rsid w:val="007863E0"/>
    <w:rsid w:val="00786AD9"/>
    <w:rsid w:val="00786C07"/>
    <w:rsid w:val="00786C1B"/>
    <w:rsid w:val="00787325"/>
    <w:rsid w:val="007875B9"/>
    <w:rsid w:val="00787817"/>
    <w:rsid w:val="00787CEE"/>
    <w:rsid w:val="00787E63"/>
    <w:rsid w:val="00787F92"/>
    <w:rsid w:val="007906AB"/>
    <w:rsid w:val="00790A27"/>
    <w:rsid w:val="00790DC3"/>
    <w:rsid w:val="00791257"/>
    <w:rsid w:val="00791D8A"/>
    <w:rsid w:val="00792F81"/>
    <w:rsid w:val="00793D18"/>
    <w:rsid w:val="007942AC"/>
    <w:rsid w:val="0079465A"/>
    <w:rsid w:val="0079483D"/>
    <w:rsid w:val="0079506E"/>
    <w:rsid w:val="0079515E"/>
    <w:rsid w:val="007958A8"/>
    <w:rsid w:val="00795920"/>
    <w:rsid w:val="007959B9"/>
    <w:rsid w:val="0079603A"/>
    <w:rsid w:val="007962A4"/>
    <w:rsid w:val="00796537"/>
    <w:rsid w:val="00796FEE"/>
    <w:rsid w:val="007971C5"/>
    <w:rsid w:val="007973DA"/>
    <w:rsid w:val="00797D41"/>
    <w:rsid w:val="007A058B"/>
    <w:rsid w:val="007A100A"/>
    <w:rsid w:val="007A1E1B"/>
    <w:rsid w:val="007A2371"/>
    <w:rsid w:val="007A27AB"/>
    <w:rsid w:val="007A2D9D"/>
    <w:rsid w:val="007A2E28"/>
    <w:rsid w:val="007A2EE6"/>
    <w:rsid w:val="007A334D"/>
    <w:rsid w:val="007A35A1"/>
    <w:rsid w:val="007A401C"/>
    <w:rsid w:val="007A4836"/>
    <w:rsid w:val="007A4C82"/>
    <w:rsid w:val="007A4D73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4DE9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0BF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7BC"/>
    <w:rsid w:val="007E4BF2"/>
    <w:rsid w:val="007E4F0D"/>
    <w:rsid w:val="007E4F1E"/>
    <w:rsid w:val="007E52D6"/>
    <w:rsid w:val="007E6990"/>
    <w:rsid w:val="007E6C0E"/>
    <w:rsid w:val="007E71B3"/>
    <w:rsid w:val="007E7A97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A74"/>
    <w:rsid w:val="007F4258"/>
    <w:rsid w:val="007F4847"/>
    <w:rsid w:val="007F4921"/>
    <w:rsid w:val="007F4A8F"/>
    <w:rsid w:val="007F507D"/>
    <w:rsid w:val="007F5217"/>
    <w:rsid w:val="007F58EB"/>
    <w:rsid w:val="007F5A67"/>
    <w:rsid w:val="007F627C"/>
    <w:rsid w:val="007F632D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FF"/>
    <w:rsid w:val="00805410"/>
    <w:rsid w:val="00805DCF"/>
    <w:rsid w:val="0080618E"/>
    <w:rsid w:val="008061CD"/>
    <w:rsid w:val="008066C0"/>
    <w:rsid w:val="00806A9D"/>
    <w:rsid w:val="0080700D"/>
    <w:rsid w:val="00807531"/>
    <w:rsid w:val="00807C8C"/>
    <w:rsid w:val="008102BF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C7C"/>
    <w:rsid w:val="00827573"/>
    <w:rsid w:val="008277C2"/>
    <w:rsid w:val="00827A75"/>
    <w:rsid w:val="00827A92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51E6"/>
    <w:rsid w:val="008357BB"/>
    <w:rsid w:val="0083591D"/>
    <w:rsid w:val="00835F0E"/>
    <w:rsid w:val="00836650"/>
    <w:rsid w:val="00836E56"/>
    <w:rsid w:val="00836F17"/>
    <w:rsid w:val="00837084"/>
    <w:rsid w:val="0083727B"/>
    <w:rsid w:val="0084005D"/>
    <w:rsid w:val="0084058F"/>
    <w:rsid w:val="00840652"/>
    <w:rsid w:val="008406F4"/>
    <w:rsid w:val="0084223B"/>
    <w:rsid w:val="00842A19"/>
    <w:rsid w:val="00842DC1"/>
    <w:rsid w:val="00842E32"/>
    <w:rsid w:val="00842F57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70D"/>
    <w:rsid w:val="00853DB5"/>
    <w:rsid w:val="008546D9"/>
    <w:rsid w:val="00854848"/>
    <w:rsid w:val="00854E8C"/>
    <w:rsid w:val="00855071"/>
    <w:rsid w:val="00855088"/>
    <w:rsid w:val="0085674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0DF8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6BF5"/>
    <w:rsid w:val="00866C3C"/>
    <w:rsid w:val="00866F37"/>
    <w:rsid w:val="00870428"/>
    <w:rsid w:val="0087099D"/>
    <w:rsid w:val="00870C71"/>
    <w:rsid w:val="00870F78"/>
    <w:rsid w:val="008718D8"/>
    <w:rsid w:val="00871B92"/>
    <w:rsid w:val="00872570"/>
    <w:rsid w:val="008728B3"/>
    <w:rsid w:val="00872E67"/>
    <w:rsid w:val="0087350E"/>
    <w:rsid w:val="00873A3D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904A2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659"/>
    <w:rsid w:val="008A29ED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5D"/>
    <w:rsid w:val="008B2F58"/>
    <w:rsid w:val="008B3410"/>
    <w:rsid w:val="008B43A9"/>
    <w:rsid w:val="008B4731"/>
    <w:rsid w:val="008B5B04"/>
    <w:rsid w:val="008B6127"/>
    <w:rsid w:val="008B6C1D"/>
    <w:rsid w:val="008B6F96"/>
    <w:rsid w:val="008B709B"/>
    <w:rsid w:val="008B720B"/>
    <w:rsid w:val="008B72AB"/>
    <w:rsid w:val="008B7452"/>
    <w:rsid w:val="008C03CB"/>
    <w:rsid w:val="008C0524"/>
    <w:rsid w:val="008C0699"/>
    <w:rsid w:val="008C083C"/>
    <w:rsid w:val="008C0AEE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F6E"/>
    <w:rsid w:val="008E7308"/>
    <w:rsid w:val="008E7D40"/>
    <w:rsid w:val="008E7E1C"/>
    <w:rsid w:val="008F0147"/>
    <w:rsid w:val="008F0396"/>
    <w:rsid w:val="008F039E"/>
    <w:rsid w:val="008F0566"/>
    <w:rsid w:val="008F0D74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A31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C02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6000"/>
    <w:rsid w:val="00916147"/>
    <w:rsid w:val="009162E4"/>
    <w:rsid w:val="009172BB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44A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2AE3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2B"/>
    <w:rsid w:val="00950884"/>
    <w:rsid w:val="00950D8B"/>
    <w:rsid w:val="0095100C"/>
    <w:rsid w:val="0095120D"/>
    <w:rsid w:val="00951600"/>
    <w:rsid w:val="00951F1E"/>
    <w:rsid w:val="00952316"/>
    <w:rsid w:val="00952A9F"/>
    <w:rsid w:val="00952F44"/>
    <w:rsid w:val="00953095"/>
    <w:rsid w:val="0095396E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DD2"/>
    <w:rsid w:val="00963F82"/>
    <w:rsid w:val="00965774"/>
    <w:rsid w:val="0096603A"/>
    <w:rsid w:val="009664A6"/>
    <w:rsid w:val="0096670C"/>
    <w:rsid w:val="00966C2B"/>
    <w:rsid w:val="00967682"/>
    <w:rsid w:val="00967B26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F45"/>
    <w:rsid w:val="009867A3"/>
    <w:rsid w:val="009868C6"/>
    <w:rsid w:val="00986B93"/>
    <w:rsid w:val="00986C98"/>
    <w:rsid w:val="00986CFC"/>
    <w:rsid w:val="009870D8"/>
    <w:rsid w:val="00987FB1"/>
    <w:rsid w:val="0099008A"/>
    <w:rsid w:val="00990261"/>
    <w:rsid w:val="00990C1D"/>
    <w:rsid w:val="00990F67"/>
    <w:rsid w:val="00992413"/>
    <w:rsid w:val="00992607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97AC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B00CA"/>
    <w:rsid w:val="009B04C5"/>
    <w:rsid w:val="009B06B8"/>
    <w:rsid w:val="009B0B84"/>
    <w:rsid w:val="009B0BA8"/>
    <w:rsid w:val="009B13F8"/>
    <w:rsid w:val="009B17E7"/>
    <w:rsid w:val="009B20DA"/>
    <w:rsid w:val="009B294C"/>
    <w:rsid w:val="009B29DF"/>
    <w:rsid w:val="009B3286"/>
    <w:rsid w:val="009B3927"/>
    <w:rsid w:val="009B3B15"/>
    <w:rsid w:val="009B3D8C"/>
    <w:rsid w:val="009B43E9"/>
    <w:rsid w:val="009B5639"/>
    <w:rsid w:val="009B5CEE"/>
    <w:rsid w:val="009B5D33"/>
    <w:rsid w:val="009B5D97"/>
    <w:rsid w:val="009B5F5D"/>
    <w:rsid w:val="009B64C3"/>
    <w:rsid w:val="009B6BFF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5CC"/>
    <w:rsid w:val="009C76C4"/>
    <w:rsid w:val="009C7772"/>
    <w:rsid w:val="009C778C"/>
    <w:rsid w:val="009C7BE3"/>
    <w:rsid w:val="009D0100"/>
    <w:rsid w:val="009D03D9"/>
    <w:rsid w:val="009D08E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1FCD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D5E"/>
    <w:rsid w:val="009F60D0"/>
    <w:rsid w:val="009F6652"/>
    <w:rsid w:val="009F6924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6A"/>
    <w:rsid w:val="00A03E70"/>
    <w:rsid w:val="00A04318"/>
    <w:rsid w:val="00A0440A"/>
    <w:rsid w:val="00A04961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8E"/>
    <w:rsid w:val="00A1128C"/>
    <w:rsid w:val="00A112BF"/>
    <w:rsid w:val="00A11338"/>
    <w:rsid w:val="00A1145F"/>
    <w:rsid w:val="00A115B5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55E"/>
    <w:rsid w:val="00A20B81"/>
    <w:rsid w:val="00A2133F"/>
    <w:rsid w:val="00A21457"/>
    <w:rsid w:val="00A218DB"/>
    <w:rsid w:val="00A21922"/>
    <w:rsid w:val="00A21B2B"/>
    <w:rsid w:val="00A2232C"/>
    <w:rsid w:val="00A228D9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EA"/>
    <w:rsid w:val="00A27956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FC"/>
    <w:rsid w:val="00A510FC"/>
    <w:rsid w:val="00A518A5"/>
    <w:rsid w:val="00A52433"/>
    <w:rsid w:val="00A525CE"/>
    <w:rsid w:val="00A53200"/>
    <w:rsid w:val="00A54046"/>
    <w:rsid w:val="00A541F4"/>
    <w:rsid w:val="00A54392"/>
    <w:rsid w:val="00A55033"/>
    <w:rsid w:val="00A55460"/>
    <w:rsid w:val="00A558A9"/>
    <w:rsid w:val="00A55D60"/>
    <w:rsid w:val="00A55D9B"/>
    <w:rsid w:val="00A563A8"/>
    <w:rsid w:val="00A5644E"/>
    <w:rsid w:val="00A5663C"/>
    <w:rsid w:val="00A56902"/>
    <w:rsid w:val="00A56A4A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5DA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FC9"/>
    <w:rsid w:val="00AA6475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BDA"/>
    <w:rsid w:val="00AB5F6A"/>
    <w:rsid w:val="00AB5FB3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58E"/>
    <w:rsid w:val="00AC5A4A"/>
    <w:rsid w:val="00AC5ACB"/>
    <w:rsid w:val="00AC5FA4"/>
    <w:rsid w:val="00AC5FB5"/>
    <w:rsid w:val="00AC60A7"/>
    <w:rsid w:val="00AC612F"/>
    <w:rsid w:val="00AC64F1"/>
    <w:rsid w:val="00AC7684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3F0"/>
    <w:rsid w:val="00AD7706"/>
    <w:rsid w:val="00AD786D"/>
    <w:rsid w:val="00AE01B4"/>
    <w:rsid w:val="00AE02FB"/>
    <w:rsid w:val="00AE082F"/>
    <w:rsid w:val="00AE0C42"/>
    <w:rsid w:val="00AE0EBC"/>
    <w:rsid w:val="00AE1071"/>
    <w:rsid w:val="00AE1AF2"/>
    <w:rsid w:val="00AE1B19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91D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3EC9"/>
    <w:rsid w:val="00B040ED"/>
    <w:rsid w:val="00B0417C"/>
    <w:rsid w:val="00B04B99"/>
    <w:rsid w:val="00B04FEB"/>
    <w:rsid w:val="00B05F0D"/>
    <w:rsid w:val="00B06CC6"/>
    <w:rsid w:val="00B06D8B"/>
    <w:rsid w:val="00B07584"/>
    <w:rsid w:val="00B0787F"/>
    <w:rsid w:val="00B07A65"/>
    <w:rsid w:val="00B07C23"/>
    <w:rsid w:val="00B10011"/>
    <w:rsid w:val="00B10AF9"/>
    <w:rsid w:val="00B10E7A"/>
    <w:rsid w:val="00B1178B"/>
    <w:rsid w:val="00B11BC8"/>
    <w:rsid w:val="00B11F51"/>
    <w:rsid w:val="00B12115"/>
    <w:rsid w:val="00B1216F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67"/>
    <w:rsid w:val="00B25B2F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63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38DA"/>
    <w:rsid w:val="00B43E9E"/>
    <w:rsid w:val="00B4426D"/>
    <w:rsid w:val="00B44A06"/>
    <w:rsid w:val="00B44EF3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8A4"/>
    <w:rsid w:val="00B649DB"/>
    <w:rsid w:val="00B64C82"/>
    <w:rsid w:val="00B651B5"/>
    <w:rsid w:val="00B65235"/>
    <w:rsid w:val="00B65B3B"/>
    <w:rsid w:val="00B66092"/>
    <w:rsid w:val="00B6621D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0C0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31E"/>
    <w:rsid w:val="00B958E2"/>
    <w:rsid w:val="00B961B9"/>
    <w:rsid w:val="00B96261"/>
    <w:rsid w:val="00B96381"/>
    <w:rsid w:val="00B96FEE"/>
    <w:rsid w:val="00B97493"/>
    <w:rsid w:val="00B97590"/>
    <w:rsid w:val="00B97AFA"/>
    <w:rsid w:val="00BA016A"/>
    <w:rsid w:val="00BA15A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C1584"/>
    <w:rsid w:val="00BC190A"/>
    <w:rsid w:val="00BC1CC8"/>
    <w:rsid w:val="00BC1DD0"/>
    <w:rsid w:val="00BC2111"/>
    <w:rsid w:val="00BC21DB"/>
    <w:rsid w:val="00BC276A"/>
    <w:rsid w:val="00BC27A8"/>
    <w:rsid w:val="00BC28BC"/>
    <w:rsid w:val="00BC28EF"/>
    <w:rsid w:val="00BC33CF"/>
    <w:rsid w:val="00BC3C42"/>
    <w:rsid w:val="00BC3EB4"/>
    <w:rsid w:val="00BC45C1"/>
    <w:rsid w:val="00BC45FE"/>
    <w:rsid w:val="00BC4648"/>
    <w:rsid w:val="00BC466F"/>
    <w:rsid w:val="00BC4A8F"/>
    <w:rsid w:val="00BC507E"/>
    <w:rsid w:val="00BC5863"/>
    <w:rsid w:val="00BC5AEB"/>
    <w:rsid w:val="00BC5DD2"/>
    <w:rsid w:val="00BC6143"/>
    <w:rsid w:val="00BC63FB"/>
    <w:rsid w:val="00BC6ABE"/>
    <w:rsid w:val="00BC6E3E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BB4"/>
    <w:rsid w:val="00BD4CE0"/>
    <w:rsid w:val="00BD4E73"/>
    <w:rsid w:val="00BD4F18"/>
    <w:rsid w:val="00BD5064"/>
    <w:rsid w:val="00BD53C7"/>
    <w:rsid w:val="00BD581E"/>
    <w:rsid w:val="00BD5F03"/>
    <w:rsid w:val="00BD634F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E2A"/>
    <w:rsid w:val="00BE3F1C"/>
    <w:rsid w:val="00BE3F1D"/>
    <w:rsid w:val="00BE50B5"/>
    <w:rsid w:val="00BE5202"/>
    <w:rsid w:val="00BE56AB"/>
    <w:rsid w:val="00BE5891"/>
    <w:rsid w:val="00BE5E0C"/>
    <w:rsid w:val="00BE6136"/>
    <w:rsid w:val="00BE64A3"/>
    <w:rsid w:val="00BE6563"/>
    <w:rsid w:val="00BE6727"/>
    <w:rsid w:val="00BE6E85"/>
    <w:rsid w:val="00BE7239"/>
    <w:rsid w:val="00BE7313"/>
    <w:rsid w:val="00BE794D"/>
    <w:rsid w:val="00BF01FE"/>
    <w:rsid w:val="00BF06FD"/>
    <w:rsid w:val="00BF10B5"/>
    <w:rsid w:val="00BF138B"/>
    <w:rsid w:val="00BF17B5"/>
    <w:rsid w:val="00BF19F3"/>
    <w:rsid w:val="00BF1BB8"/>
    <w:rsid w:val="00BF2289"/>
    <w:rsid w:val="00BF2682"/>
    <w:rsid w:val="00BF2914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466"/>
    <w:rsid w:val="00BF550D"/>
    <w:rsid w:val="00BF5601"/>
    <w:rsid w:val="00BF57ED"/>
    <w:rsid w:val="00BF60ED"/>
    <w:rsid w:val="00BF61C7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2071"/>
    <w:rsid w:val="00C02271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0F6F"/>
    <w:rsid w:val="00C2133F"/>
    <w:rsid w:val="00C213B0"/>
    <w:rsid w:val="00C215AB"/>
    <w:rsid w:val="00C21BEB"/>
    <w:rsid w:val="00C22256"/>
    <w:rsid w:val="00C22279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91F"/>
    <w:rsid w:val="00C2793B"/>
    <w:rsid w:val="00C27981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0A2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9FD"/>
    <w:rsid w:val="00C54EBD"/>
    <w:rsid w:val="00C55982"/>
    <w:rsid w:val="00C55A7E"/>
    <w:rsid w:val="00C566B5"/>
    <w:rsid w:val="00C56F1E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0EB2"/>
    <w:rsid w:val="00C6191E"/>
    <w:rsid w:val="00C626FB"/>
    <w:rsid w:val="00C62B3B"/>
    <w:rsid w:val="00C631DA"/>
    <w:rsid w:val="00C6324A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ABE"/>
    <w:rsid w:val="00C675C1"/>
    <w:rsid w:val="00C67FDB"/>
    <w:rsid w:val="00C70024"/>
    <w:rsid w:val="00C703B4"/>
    <w:rsid w:val="00C704BE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6BF"/>
    <w:rsid w:val="00C75E48"/>
    <w:rsid w:val="00C75F70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620"/>
    <w:rsid w:val="00CA4C1D"/>
    <w:rsid w:val="00CA543F"/>
    <w:rsid w:val="00CA5598"/>
    <w:rsid w:val="00CA5ABC"/>
    <w:rsid w:val="00CA5FEE"/>
    <w:rsid w:val="00CA6714"/>
    <w:rsid w:val="00CA7321"/>
    <w:rsid w:val="00CA7821"/>
    <w:rsid w:val="00CA7E07"/>
    <w:rsid w:val="00CA7E35"/>
    <w:rsid w:val="00CB0C2D"/>
    <w:rsid w:val="00CB179F"/>
    <w:rsid w:val="00CB208B"/>
    <w:rsid w:val="00CB2BF5"/>
    <w:rsid w:val="00CB3109"/>
    <w:rsid w:val="00CB39C1"/>
    <w:rsid w:val="00CB3E64"/>
    <w:rsid w:val="00CB4B22"/>
    <w:rsid w:val="00CB500E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C018B"/>
    <w:rsid w:val="00CC0AAB"/>
    <w:rsid w:val="00CC1A3A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70"/>
    <w:rsid w:val="00CC63D4"/>
    <w:rsid w:val="00CC65BD"/>
    <w:rsid w:val="00CC6C6E"/>
    <w:rsid w:val="00CC7772"/>
    <w:rsid w:val="00CC7FFA"/>
    <w:rsid w:val="00CD00B1"/>
    <w:rsid w:val="00CD036C"/>
    <w:rsid w:val="00CD0775"/>
    <w:rsid w:val="00CD0CC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E0214"/>
    <w:rsid w:val="00CE0513"/>
    <w:rsid w:val="00CE1076"/>
    <w:rsid w:val="00CE1578"/>
    <w:rsid w:val="00CE1972"/>
    <w:rsid w:val="00CE200B"/>
    <w:rsid w:val="00CE20EC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0EA0"/>
    <w:rsid w:val="00CF1D6A"/>
    <w:rsid w:val="00CF2564"/>
    <w:rsid w:val="00CF2851"/>
    <w:rsid w:val="00CF2D6E"/>
    <w:rsid w:val="00CF2EEB"/>
    <w:rsid w:val="00CF3107"/>
    <w:rsid w:val="00CF3676"/>
    <w:rsid w:val="00CF3DC1"/>
    <w:rsid w:val="00CF3F45"/>
    <w:rsid w:val="00CF47A1"/>
    <w:rsid w:val="00CF4A48"/>
    <w:rsid w:val="00CF4CA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293"/>
    <w:rsid w:val="00D01A3C"/>
    <w:rsid w:val="00D01FE5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A4"/>
    <w:rsid w:val="00D14ADD"/>
    <w:rsid w:val="00D15148"/>
    <w:rsid w:val="00D15DF7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401B6"/>
    <w:rsid w:val="00D40300"/>
    <w:rsid w:val="00D403A2"/>
    <w:rsid w:val="00D4046E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441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3C0"/>
    <w:rsid w:val="00D667E3"/>
    <w:rsid w:val="00D66D5B"/>
    <w:rsid w:val="00D676B4"/>
    <w:rsid w:val="00D67E90"/>
    <w:rsid w:val="00D67F95"/>
    <w:rsid w:val="00D7028F"/>
    <w:rsid w:val="00D71765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A3A"/>
    <w:rsid w:val="00D77276"/>
    <w:rsid w:val="00D77439"/>
    <w:rsid w:val="00D77913"/>
    <w:rsid w:val="00D77AAF"/>
    <w:rsid w:val="00D8008E"/>
    <w:rsid w:val="00D8084C"/>
    <w:rsid w:val="00D809FE"/>
    <w:rsid w:val="00D81596"/>
    <w:rsid w:val="00D81E93"/>
    <w:rsid w:val="00D81EC9"/>
    <w:rsid w:val="00D8210C"/>
    <w:rsid w:val="00D83B5A"/>
    <w:rsid w:val="00D83D9D"/>
    <w:rsid w:val="00D84151"/>
    <w:rsid w:val="00D84566"/>
    <w:rsid w:val="00D84618"/>
    <w:rsid w:val="00D84F80"/>
    <w:rsid w:val="00D857C4"/>
    <w:rsid w:val="00D85E56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5915"/>
    <w:rsid w:val="00D959AE"/>
    <w:rsid w:val="00D9624C"/>
    <w:rsid w:val="00D973AE"/>
    <w:rsid w:val="00D97735"/>
    <w:rsid w:val="00D97A0A"/>
    <w:rsid w:val="00D97A9D"/>
    <w:rsid w:val="00D97D0C"/>
    <w:rsid w:val="00DA0785"/>
    <w:rsid w:val="00DA1109"/>
    <w:rsid w:val="00DA160B"/>
    <w:rsid w:val="00DA1E57"/>
    <w:rsid w:val="00DA22FE"/>
    <w:rsid w:val="00DA25BD"/>
    <w:rsid w:val="00DA2DD9"/>
    <w:rsid w:val="00DA2E64"/>
    <w:rsid w:val="00DA2EDA"/>
    <w:rsid w:val="00DA380C"/>
    <w:rsid w:val="00DA4757"/>
    <w:rsid w:val="00DA4DBB"/>
    <w:rsid w:val="00DA518F"/>
    <w:rsid w:val="00DA531D"/>
    <w:rsid w:val="00DA5854"/>
    <w:rsid w:val="00DA5E2F"/>
    <w:rsid w:val="00DA6522"/>
    <w:rsid w:val="00DA68BE"/>
    <w:rsid w:val="00DA7017"/>
    <w:rsid w:val="00DA7041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4DA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6E46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1F4"/>
    <w:rsid w:val="00E01E46"/>
    <w:rsid w:val="00E021E3"/>
    <w:rsid w:val="00E025CC"/>
    <w:rsid w:val="00E02840"/>
    <w:rsid w:val="00E02DC6"/>
    <w:rsid w:val="00E02ED8"/>
    <w:rsid w:val="00E032B0"/>
    <w:rsid w:val="00E03E36"/>
    <w:rsid w:val="00E0406B"/>
    <w:rsid w:val="00E043CC"/>
    <w:rsid w:val="00E04407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10"/>
    <w:rsid w:val="00E165D1"/>
    <w:rsid w:val="00E1693C"/>
    <w:rsid w:val="00E2008E"/>
    <w:rsid w:val="00E21234"/>
    <w:rsid w:val="00E21335"/>
    <w:rsid w:val="00E21A79"/>
    <w:rsid w:val="00E21BDE"/>
    <w:rsid w:val="00E21E9D"/>
    <w:rsid w:val="00E22772"/>
    <w:rsid w:val="00E230C3"/>
    <w:rsid w:val="00E23481"/>
    <w:rsid w:val="00E23E6E"/>
    <w:rsid w:val="00E24C95"/>
    <w:rsid w:val="00E24E05"/>
    <w:rsid w:val="00E2507F"/>
    <w:rsid w:val="00E2599D"/>
    <w:rsid w:val="00E259BC"/>
    <w:rsid w:val="00E259C1"/>
    <w:rsid w:val="00E25A1E"/>
    <w:rsid w:val="00E25A23"/>
    <w:rsid w:val="00E25E8B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2B1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11C7"/>
    <w:rsid w:val="00E51592"/>
    <w:rsid w:val="00E51A85"/>
    <w:rsid w:val="00E5262A"/>
    <w:rsid w:val="00E533B1"/>
    <w:rsid w:val="00E536E0"/>
    <w:rsid w:val="00E537ED"/>
    <w:rsid w:val="00E53E32"/>
    <w:rsid w:val="00E53EC9"/>
    <w:rsid w:val="00E5416D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684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C13"/>
    <w:rsid w:val="00E72D56"/>
    <w:rsid w:val="00E737E2"/>
    <w:rsid w:val="00E73BE0"/>
    <w:rsid w:val="00E73D56"/>
    <w:rsid w:val="00E742AB"/>
    <w:rsid w:val="00E7538D"/>
    <w:rsid w:val="00E75702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D5"/>
    <w:rsid w:val="00E93207"/>
    <w:rsid w:val="00E9344D"/>
    <w:rsid w:val="00E93C29"/>
    <w:rsid w:val="00E94581"/>
    <w:rsid w:val="00E94DCB"/>
    <w:rsid w:val="00E94FBE"/>
    <w:rsid w:val="00E956B1"/>
    <w:rsid w:val="00E95E71"/>
    <w:rsid w:val="00E96512"/>
    <w:rsid w:val="00E973D4"/>
    <w:rsid w:val="00E9755F"/>
    <w:rsid w:val="00E97A8F"/>
    <w:rsid w:val="00E97E98"/>
    <w:rsid w:val="00EA01FC"/>
    <w:rsid w:val="00EA0231"/>
    <w:rsid w:val="00EA0275"/>
    <w:rsid w:val="00EA0CDC"/>
    <w:rsid w:val="00EA0FCD"/>
    <w:rsid w:val="00EA104D"/>
    <w:rsid w:val="00EA16B3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B0297"/>
    <w:rsid w:val="00EB077E"/>
    <w:rsid w:val="00EB194C"/>
    <w:rsid w:val="00EB1C9A"/>
    <w:rsid w:val="00EB2360"/>
    <w:rsid w:val="00EB2851"/>
    <w:rsid w:val="00EB450E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594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30"/>
    <w:rsid w:val="00EE61B1"/>
    <w:rsid w:val="00EE6482"/>
    <w:rsid w:val="00EE64EF"/>
    <w:rsid w:val="00EE64FC"/>
    <w:rsid w:val="00EE651B"/>
    <w:rsid w:val="00EE6B31"/>
    <w:rsid w:val="00EE7A17"/>
    <w:rsid w:val="00EE7DB8"/>
    <w:rsid w:val="00EF0292"/>
    <w:rsid w:val="00EF0D0F"/>
    <w:rsid w:val="00EF170A"/>
    <w:rsid w:val="00EF1E7D"/>
    <w:rsid w:val="00EF2429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2C01"/>
    <w:rsid w:val="00F03156"/>
    <w:rsid w:val="00F03B53"/>
    <w:rsid w:val="00F04231"/>
    <w:rsid w:val="00F04592"/>
    <w:rsid w:val="00F04921"/>
    <w:rsid w:val="00F04A63"/>
    <w:rsid w:val="00F04EC2"/>
    <w:rsid w:val="00F0526E"/>
    <w:rsid w:val="00F056AC"/>
    <w:rsid w:val="00F05740"/>
    <w:rsid w:val="00F0577B"/>
    <w:rsid w:val="00F05870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1CE"/>
    <w:rsid w:val="00F1234E"/>
    <w:rsid w:val="00F12878"/>
    <w:rsid w:val="00F12B7A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30351"/>
    <w:rsid w:val="00F304F7"/>
    <w:rsid w:val="00F30813"/>
    <w:rsid w:val="00F30849"/>
    <w:rsid w:val="00F30EA3"/>
    <w:rsid w:val="00F315DB"/>
    <w:rsid w:val="00F31694"/>
    <w:rsid w:val="00F3275D"/>
    <w:rsid w:val="00F3296F"/>
    <w:rsid w:val="00F3364B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812"/>
    <w:rsid w:val="00F36C12"/>
    <w:rsid w:val="00F370DD"/>
    <w:rsid w:val="00F37415"/>
    <w:rsid w:val="00F37606"/>
    <w:rsid w:val="00F40870"/>
    <w:rsid w:val="00F415CC"/>
    <w:rsid w:val="00F41633"/>
    <w:rsid w:val="00F41945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716"/>
    <w:rsid w:val="00F53891"/>
    <w:rsid w:val="00F53902"/>
    <w:rsid w:val="00F53E62"/>
    <w:rsid w:val="00F5473E"/>
    <w:rsid w:val="00F54964"/>
    <w:rsid w:val="00F557CB"/>
    <w:rsid w:val="00F56043"/>
    <w:rsid w:val="00F560E1"/>
    <w:rsid w:val="00F56304"/>
    <w:rsid w:val="00F56534"/>
    <w:rsid w:val="00F566A5"/>
    <w:rsid w:val="00F56B1D"/>
    <w:rsid w:val="00F57F23"/>
    <w:rsid w:val="00F61225"/>
    <w:rsid w:val="00F61FE3"/>
    <w:rsid w:val="00F628D6"/>
    <w:rsid w:val="00F62B39"/>
    <w:rsid w:val="00F62C10"/>
    <w:rsid w:val="00F630A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1192"/>
    <w:rsid w:val="00F71774"/>
    <w:rsid w:val="00F71785"/>
    <w:rsid w:val="00F721D9"/>
    <w:rsid w:val="00F72C59"/>
    <w:rsid w:val="00F749F1"/>
    <w:rsid w:val="00F74D93"/>
    <w:rsid w:val="00F75421"/>
    <w:rsid w:val="00F75EDD"/>
    <w:rsid w:val="00F76396"/>
    <w:rsid w:val="00F76B81"/>
    <w:rsid w:val="00F77D3F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F72"/>
    <w:rsid w:val="00FA11D6"/>
    <w:rsid w:val="00FA1626"/>
    <w:rsid w:val="00FA229C"/>
    <w:rsid w:val="00FA3732"/>
    <w:rsid w:val="00FA38E8"/>
    <w:rsid w:val="00FA3FEF"/>
    <w:rsid w:val="00FA4FD6"/>
    <w:rsid w:val="00FA5141"/>
    <w:rsid w:val="00FA5392"/>
    <w:rsid w:val="00FA63EF"/>
    <w:rsid w:val="00FA6611"/>
    <w:rsid w:val="00FA6A52"/>
    <w:rsid w:val="00FB0629"/>
    <w:rsid w:val="00FB160C"/>
    <w:rsid w:val="00FB17F3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6C"/>
    <w:rsid w:val="00FC0237"/>
    <w:rsid w:val="00FC058D"/>
    <w:rsid w:val="00FC0826"/>
    <w:rsid w:val="00FC0DF0"/>
    <w:rsid w:val="00FC1277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33"/>
    <w:rsid w:val="00FC3FE4"/>
    <w:rsid w:val="00FC4220"/>
    <w:rsid w:val="00FC540D"/>
    <w:rsid w:val="00FC5ECD"/>
    <w:rsid w:val="00FC6B62"/>
    <w:rsid w:val="00FC6EE5"/>
    <w:rsid w:val="00FC7645"/>
    <w:rsid w:val="00FC7767"/>
    <w:rsid w:val="00FC7F40"/>
    <w:rsid w:val="00FD065B"/>
    <w:rsid w:val="00FD0677"/>
    <w:rsid w:val="00FD07AD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30C"/>
    <w:rsid w:val="00FE2436"/>
    <w:rsid w:val="00FE26DE"/>
    <w:rsid w:val="00FE2D8B"/>
    <w:rsid w:val="00FE2E11"/>
    <w:rsid w:val="00FE3422"/>
    <w:rsid w:val="00FE5BA2"/>
    <w:rsid w:val="00FE5BF0"/>
    <w:rsid w:val="00FE6C16"/>
    <w:rsid w:val="00FE6EF4"/>
    <w:rsid w:val="00FE72EF"/>
    <w:rsid w:val="00FE74DD"/>
    <w:rsid w:val="00FE7ACF"/>
    <w:rsid w:val="00FE7D00"/>
    <w:rsid w:val="00FE7E51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milka.ciganovic@rzs.rs.ba" TargetMode="External"/><Relationship Id="rId18" Type="http://schemas.openxmlformats.org/officeDocument/2006/relationships/hyperlink" Target="mailto:biljana.tesic@rzs.rs.ba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zana.alagic@rzs.rs.ba" TargetMode="External"/><Relationship Id="rId17" Type="http://schemas.openxmlformats.org/officeDocument/2006/relationships/hyperlink" Target="mailto:vladimir.koprivica@rzs.rs.ba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iljana.glisic@rzs.rs.ba" TargetMode="External"/><Relationship Id="rId20" Type="http://schemas.openxmlformats.org/officeDocument/2006/relationships/hyperlink" Target="mailto:mirjana.bandur@rzs.rs.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dijana.dedic@rzs.rs.ba" TargetMode="External"/><Relationship Id="rId23" Type="http://schemas.openxmlformats.org/officeDocument/2006/relationships/header" Target="header1.xml"/><Relationship Id="rId10" Type="http://schemas.openxmlformats.org/officeDocument/2006/relationships/chart" Target="charts/chart2.xml"/><Relationship Id="rId19" Type="http://schemas.openxmlformats.org/officeDocument/2006/relationships/hyperlink" Target="mailto:jasminka.milic@rzs.rs.ba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jadranka.luburic@rzs.rs.ba" TargetMode="External"/><Relationship Id="rId22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7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ejvanve\Desktop\Grafikon-Stope%20realnog%20rasta%20Q1%202012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glisicbi.RZS\Desktop\Plate\2012\GRAFI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jun%202012\za%20Graf%20I-VI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9.8933195333287913E-2"/>
          <c:y val="0.10628826864087375"/>
          <c:w val="0.76883956862905378"/>
          <c:h val="0.6580422370280683"/>
        </c:manualLayout>
      </c:layout>
      <c:barChart>
        <c:barDir val="col"/>
        <c:grouping val="stacked"/>
        <c:ser>
          <c:idx val="0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</c:spPr>
          <c:cat>
            <c:strRef>
              <c:f>Sheet1!$A$1:$E$1</c:f>
              <c:strCache>
                <c:ptCount val="5"/>
                <c:pt idx="0">
                  <c:v>I 2011¹</c:v>
                </c:pt>
                <c:pt idx="1">
                  <c:v>II 2011¹</c:v>
                </c:pt>
                <c:pt idx="2">
                  <c:v>III 2011¹</c:v>
                </c:pt>
                <c:pt idx="3">
                  <c:v>IV 2011¹</c:v>
                </c:pt>
                <c:pt idx="4">
                  <c:v>I 2012¹</c:v>
                </c:pt>
              </c:strCache>
            </c:strRef>
          </c:cat>
          <c:val>
            <c:numRef>
              <c:f>Sheet1!$A$2:$E$2</c:f>
              <c:numCache>
                <c:formatCode>0.0</c:formatCode>
                <c:ptCount val="5"/>
                <c:pt idx="0" formatCode="General">
                  <c:v>1.4</c:v>
                </c:pt>
                <c:pt idx="1">
                  <c:v>1</c:v>
                </c:pt>
                <c:pt idx="2" formatCode="General">
                  <c:v>0.70000000000000062</c:v>
                </c:pt>
                <c:pt idx="3">
                  <c:v>0</c:v>
                </c:pt>
                <c:pt idx="4" formatCode="General">
                  <c:v>-0.9</c:v>
                </c:pt>
              </c:numCache>
            </c:numRef>
          </c:val>
        </c:ser>
        <c:gapWidth val="148"/>
        <c:overlap val="76"/>
        <c:axId val="40544128"/>
        <c:axId val="40545664"/>
      </c:barChart>
      <c:catAx>
        <c:axId val="40544128"/>
        <c:scaling>
          <c:orientation val="minMax"/>
        </c:scaling>
        <c:axPos val="b"/>
        <c:numFmt formatCode="General" sourceLinked="1"/>
        <c:majorTickMark val="none"/>
        <c:tickLblPos val="nextTo"/>
        <c:spPr>
          <a:ln w="6350">
            <a:solidFill>
              <a:sysClr val="windowText" lastClr="000000"/>
            </a:solidFill>
          </a:ln>
        </c:spPr>
        <c:crossAx val="40545664"/>
        <c:crossesAt val="0"/>
        <c:lblAlgn val="ctr"/>
        <c:lblOffset val="100"/>
        <c:tickLblSkip val="1"/>
      </c:catAx>
      <c:valAx>
        <c:axId val="40545664"/>
        <c:scaling>
          <c:orientation val="minMax"/>
          <c:max val="2"/>
          <c:min val="-1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in"/>
        <c:tickLblPos val="nextTo"/>
        <c:spPr>
          <a:ln w="6350">
            <a:solidFill>
              <a:schemeClr val="tx1"/>
            </a:solidFill>
          </a:ln>
        </c:spPr>
        <c:crossAx val="40544128"/>
        <c:crosses val="autoZero"/>
        <c:crossBetween val="between"/>
        <c:majorUnit val="0.5"/>
        <c:minorUnit val="4.0000000000000105E-2"/>
      </c:valAx>
      <c:spPr>
        <a:ln w="3175">
          <a:solidFill>
            <a:schemeClr val="bg1">
              <a:lumMod val="75000"/>
            </a:schemeClr>
          </a:solidFill>
        </a:ln>
      </c:spPr>
    </c:plotArea>
    <c:plotVisOnly val="1"/>
    <c:dispBlanksAs val="zero"/>
  </c:chart>
  <c:spPr>
    <a:ln>
      <a:noFill/>
    </a:ln>
  </c:spPr>
  <c:txPr>
    <a:bodyPr/>
    <a:lstStyle/>
    <a:p>
      <a:pPr>
        <a:defRPr sz="9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plotArea>
      <c:layout>
        <c:manualLayout>
          <c:layoutTarget val="inner"/>
          <c:xMode val="edge"/>
          <c:yMode val="edge"/>
          <c:x val="7.3252545559464644E-2"/>
          <c:y val="0.15095125821136848"/>
          <c:w val="0.65455838247868414"/>
          <c:h val="0.60620217267067722"/>
        </c:manualLayout>
      </c:layout>
      <c:lineChart>
        <c:grouping val="standard"/>
        <c:ser>
          <c:idx val="0"/>
          <c:order val="0"/>
          <c:tx>
            <c:strRef>
              <c:f>Sheet3!$A$2</c:f>
              <c:strCache>
                <c:ptCount val="1"/>
                <c:pt idx="0">
                  <c:v>Просјечна плата запослених</c:v>
                </c:pt>
              </c:strCache>
            </c:strRef>
          </c:tx>
          <c:marker>
            <c:symbol val="none"/>
          </c:marker>
          <c:cat>
            <c:strRef>
              <c:f>Sheet3!$B$1:$N$1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lll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Sheet3!$B$2:$N$2</c:f>
              <c:numCache>
                <c:formatCode>General</c:formatCode>
                <c:ptCount val="13"/>
                <c:pt idx="0">
                  <c:v>817</c:v>
                </c:pt>
                <c:pt idx="1">
                  <c:v>811</c:v>
                </c:pt>
                <c:pt idx="2">
                  <c:v>813</c:v>
                </c:pt>
                <c:pt idx="3">
                  <c:v>807</c:v>
                </c:pt>
                <c:pt idx="4">
                  <c:v>802</c:v>
                </c:pt>
                <c:pt idx="5">
                  <c:v>813</c:v>
                </c:pt>
                <c:pt idx="6">
                  <c:v>815</c:v>
                </c:pt>
                <c:pt idx="7">
                  <c:v>819</c:v>
                </c:pt>
                <c:pt idx="8">
                  <c:v>821</c:v>
                </c:pt>
                <c:pt idx="9">
                  <c:v>814</c:v>
                </c:pt>
                <c:pt idx="10">
                  <c:v>817</c:v>
                </c:pt>
                <c:pt idx="11">
                  <c:v>826</c:v>
                </c:pt>
                <c:pt idx="12">
                  <c:v>818</c:v>
                </c:pt>
              </c:numCache>
            </c:numRef>
          </c:val>
        </c:ser>
        <c:marker val="1"/>
        <c:axId val="40835712"/>
        <c:axId val="40866176"/>
      </c:lineChart>
      <c:catAx>
        <c:axId val="40835712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txPr>
          <a:bodyPr/>
          <a:lstStyle/>
          <a:p>
            <a:pPr>
              <a:defRPr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0866176"/>
        <c:crosses val="autoZero"/>
        <c:lblAlgn val="ctr"/>
        <c:lblOffset val="100"/>
      </c:catAx>
      <c:valAx>
        <c:axId val="40866176"/>
        <c:scaling>
          <c:orientation val="minMax"/>
          <c:max val="850"/>
          <c:min val="60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tickLblPos val="nextTo"/>
        <c:spPr>
          <a:ln w="6350">
            <a:solidFill>
              <a:schemeClr val="tx1"/>
            </a:solidFill>
          </a:ln>
        </c:spPr>
        <c:crossAx val="40835712"/>
        <c:crosses val="autoZero"/>
        <c:crossBetween val="between"/>
        <c:majorUnit val="40"/>
      </c:valAx>
    </c:plotArea>
    <c:legend>
      <c:legendPos val="r"/>
      <c:layout>
        <c:manualLayout>
          <c:xMode val="edge"/>
          <c:yMode val="edge"/>
          <c:x val="0.73196069052143864"/>
          <c:y val="0.44465525040960913"/>
          <c:w val="0.25308871119956838"/>
          <c:h val="0.11068949918078162"/>
        </c:manualLayout>
      </c:layout>
    </c:legend>
    <c:plotVisOnly val="1"/>
  </c:chart>
  <c:spPr>
    <a:ln>
      <a:noFill/>
    </a:ln>
  </c:spPr>
  <c:txPr>
    <a:bodyPr/>
    <a:lstStyle/>
    <a:p>
      <a:pPr>
        <a:defRPr sz="9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73028197562261243"/>
          <c:h val="0.68910104986876641"/>
        </c:manualLayout>
      </c:layout>
      <c:lineChart>
        <c:grouping val="standard"/>
        <c:ser>
          <c:idx val="0"/>
          <c:order val="0"/>
          <c:tx>
            <c:strRef>
              <c:f>zaJun2012!$A$2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marker>
            <c:symbol val="none"/>
          </c:marker>
          <c:cat>
            <c:strRef>
              <c:f>zaJun2012!$B$1:$N$1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zaJun2012!$B$2:$N$2</c:f>
              <c:numCache>
                <c:formatCode>General</c:formatCode>
                <c:ptCount val="13"/>
                <c:pt idx="0">
                  <c:v>467781</c:v>
                </c:pt>
                <c:pt idx="1">
                  <c:v>408777</c:v>
                </c:pt>
                <c:pt idx="2">
                  <c:v>375448</c:v>
                </c:pt>
                <c:pt idx="3">
                  <c:v>423860</c:v>
                </c:pt>
                <c:pt idx="4">
                  <c:v>396712</c:v>
                </c:pt>
                <c:pt idx="5">
                  <c:v>393737</c:v>
                </c:pt>
                <c:pt idx="6">
                  <c:v>456851</c:v>
                </c:pt>
                <c:pt idx="7">
                  <c:v>290628</c:v>
                </c:pt>
                <c:pt idx="8">
                  <c:v>242652</c:v>
                </c:pt>
                <c:pt idx="9">
                  <c:v>474051</c:v>
                </c:pt>
                <c:pt idx="10">
                  <c:v>372450</c:v>
                </c:pt>
                <c:pt idx="11">
                  <c:v>382972</c:v>
                </c:pt>
                <c:pt idx="12">
                  <c:v>381176</c:v>
                </c:pt>
              </c:numCache>
            </c:numRef>
          </c:val>
        </c:ser>
        <c:ser>
          <c:idx val="1"/>
          <c:order val="1"/>
          <c:tx>
            <c:strRef>
              <c:f>zaJun2012!$A$3</c:f>
              <c:strCache>
                <c:ptCount val="1"/>
                <c:pt idx="0">
                  <c:v>извоз            </c:v>
                </c:pt>
              </c:strCache>
            </c:strRef>
          </c:tx>
          <c:marker>
            <c:symbol val="none"/>
          </c:marker>
          <c:cat>
            <c:strRef>
              <c:f>zaJun2012!$B$1:$N$1</c:f>
              <c:strCache>
                <c:ptCount val="13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I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</c:strCache>
            </c:strRef>
          </c:cat>
          <c:val>
            <c:numRef>
              <c:f>zaJun2012!$B$3:$N$3</c:f>
              <c:numCache>
                <c:formatCode>General</c:formatCode>
                <c:ptCount val="13"/>
                <c:pt idx="0">
                  <c:v>228912</c:v>
                </c:pt>
                <c:pt idx="1">
                  <c:v>214293</c:v>
                </c:pt>
                <c:pt idx="2">
                  <c:v>218373</c:v>
                </c:pt>
                <c:pt idx="3">
                  <c:v>248961</c:v>
                </c:pt>
                <c:pt idx="4">
                  <c:v>220859</c:v>
                </c:pt>
                <c:pt idx="5">
                  <c:v>225703</c:v>
                </c:pt>
                <c:pt idx="6">
                  <c:v>203743</c:v>
                </c:pt>
                <c:pt idx="7">
                  <c:v>158330</c:v>
                </c:pt>
                <c:pt idx="8">
                  <c:v>161327</c:v>
                </c:pt>
                <c:pt idx="9">
                  <c:v>214070</c:v>
                </c:pt>
                <c:pt idx="10">
                  <c:v>204803</c:v>
                </c:pt>
                <c:pt idx="11">
                  <c:v>227243</c:v>
                </c:pt>
                <c:pt idx="12">
                  <c:v>214234</c:v>
                </c:pt>
              </c:numCache>
            </c:numRef>
          </c:val>
        </c:ser>
        <c:marker val="1"/>
        <c:axId val="41028608"/>
        <c:axId val="41030400"/>
      </c:lineChart>
      <c:catAx>
        <c:axId val="41028608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crossAx val="41030400"/>
        <c:crosses val="autoZero"/>
        <c:auto val="1"/>
        <c:lblAlgn val="ctr"/>
        <c:lblOffset val="100"/>
      </c:catAx>
      <c:valAx>
        <c:axId val="41030400"/>
        <c:scaling>
          <c:orientation val="minMax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\ ##0;\-#\ ##0" sourceLinked="0"/>
        <c:tickLblPos val="nextTo"/>
        <c:spPr>
          <a:ln w="6350">
            <a:solidFill>
              <a:schemeClr val="tx1"/>
            </a:solidFill>
          </a:ln>
        </c:spPr>
        <c:txPr>
          <a:bodyPr/>
          <a:lstStyle/>
          <a:p>
            <a:pPr>
              <a:defRPr sz="900">
                <a:latin typeface="Tahoma" pitchFamily="34" charset="0"/>
                <a:ea typeface="Tahoma" pitchFamily="34" charset="0"/>
                <a:cs typeface="Tahoma" pitchFamily="34" charset="0"/>
              </a:defRPr>
            </a:pPr>
            <a:endParaRPr lang="en-US"/>
          </a:p>
        </c:txPr>
        <c:crossAx val="41028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728765937151263"/>
          <c:y val="0.41628280839895365"/>
          <c:w val="0.13669099874979726"/>
          <c:h val="0.16743438320210147"/>
        </c:manualLayout>
      </c:layout>
      <c:txPr>
        <a:bodyPr/>
        <a:lstStyle/>
        <a:p>
          <a:pPr>
            <a:defRPr sz="900">
              <a:latin typeface="Tahoma" pitchFamily="34" charset="0"/>
              <a:ea typeface="Tahoma" pitchFamily="34" charset="0"/>
              <a:cs typeface="Tahoma" pitchFamily="34" charset="0"/>
            </a:defRPr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0.79585</cdr:x>
      <cdr:y>0</cdr:y>
    </cdr:from>
    <cdr:to>
      <cdr:x>0.8815</cdr:x>
      <cdr:y>0.08143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379008" y="0"/>
          <a:ext cx="471288" cy="2428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r"/>
          <a:r>
            <a:rPr lang="sr-Cyrl-CS" sz="900"/>
            <a:t>%</a:t>
          </a:r>
        </a:p>
        <a:p xmlns:a="http://schemas.openxmlformats.org/drawingml/2006/main">
          <a:endParaRPr lang="sr-Latn-BA" sz="1100"/>
        </a:p>
      </cdr:txBody>
    </cdr:sp>
  </cdr:relSizeAnchor>
  <cdr:relSizeAnchor xmlns:cdr="http://schemas.openxmlformats.org/drawingml/2006/chartDrawing">
    <cdr:from>
      <cdr:x>0.02595</cdr:x>
      <cdr:y>0.86769</cdr:y>
    </cdr:from>
    <cdr:to>
      <cdr:x>0.19558</cdr:x>
      <cdr:y>0.97488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42875" y="2686050"/>
          <a:ext cx="933906" cy="3317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BA" sz="900">
              <a:latin typeface="Tahoma" pitchFamily="34" charset="0"/>
              <a:ea typeface="Tahoma" pitchFamily="34" charset="0"/>
              <a:cs typeface="Tahoma" pitchFamily="34" charset="0"/>
            </a:rPr>
            <a:t>¹</a:t>
          </a:r>
          <a:r>
            <a:rPr lang="en-US" sz="900">
              <a:latin typeface="Tahoma" pitchFamily="34" charset="0"/>
              <a:ea typeface="Tahoma" pitchFamily="34" charset="0"/>
              <a:cs typeface="Tahoma" pitchFamily="34" charset="0"/>
            </a:rPr>
            <a:t> Procjena</a:t>
          </a:r>
          <a:endParaRPr lang="sr-Latn-BA" sz="900">
            <a:latin typeface="Tahoma" pitchFamily="34" charset="0"/>
            <a:ea typeface="Tahoma" pitchFamily="34" charset="0"/>
            <a:cs typeface="Tahoma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0.22083</cdr:x>
      <cdr:y>0.95593</cdr:y>
    </cdr:from>
    <cdr:to>
      <cdr:x>0.42083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09650" y="2686049"/>
          <a:ext cx="914400" cy="1238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0.80655</cdr:x>
      <cdr:y>0.45088</cdr:y>
    </cdr:from>
    <cdr:to>
      <cdr:x>0.98752</cdr:x>
      <cdr:y>0.54156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110825" y="1423284"/>
          <a:ext cx="922351" cy="2862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900">
            <a:latin typeface="Tahoma" pitchFamily="34" charset="0"/>
            <a:ea typeface="Tahoma" pitchFamily="34" charset="0"/>
            <a:cs typeface="Tahoma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48AB-04D7-472E-BFC5-E38F2099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2227</Words>
  <Characters>13894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16089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4</cp:revision>
  <cp:lastPrinted>2012-07-19T07:54:00Z</cp:lastPrinted>
  <dcterms:created xsi:type="dcterms:W3CDTF">2012-07-19T09:47:00Z</dcterms:created>
  <dcterms:modified xsi:type="dcterms:W3CDTF">2012-07-23T05:47:00Z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