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13349D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13349D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E162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9E2A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13349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A0D46" w:rsidRPr="00BA0D46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230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9E2ADF" w:rsidP="0013349D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</w:t>
            </w:r>
            <w:r w:rsidR="0013349D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л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BA0D46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BA0D4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BA0D4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BA0D4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839EA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="004D737B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1839EA" w:rsidRPr="00BA0D4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26</w:t>
      </w:r>
      <w:r w:rsidR="00E33D13" w:rsidRPr="00BA0D4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BA0D46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BA0D46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BA0D46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1839EA" w:rsidRPr="00BA0D46">
        <w:rPr>
          <w:rFonts w:ascii="Arial Narrow" w:hAnsi="Arial Narrow" w:cs="Tahoma"/>
          <w:b/>
          <w:sz w:val="28"/>
          <w:szCs w:val="22"/>
          <w:lang w:val="sr-Cyrl-BA"/>
        </w:rPr>
        <w:t>9</w:t>
      </w:r>
      <w:r w:rsidR="004841F2" w:rsidRPr="00BA0D46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1839EA" w:rsidRPr="00BA0D46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841F2" w:rsidRPr="00BA0D46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BA0D46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BA0D46">
        <w:rPr>
          <w:rFonts w:ascii="Tahoma" w:hAnsi="Tahoma" w:cs="Tahoma"/>
          <w:b/>
          <w:sz w:val="24"/>
          <w:lang w:val="sr-Cyrl-CS"/>
        </w:rPr>
        <w:tab/>
      </w:r>
      <w:r w:rsidRPr="00BA0D46">
        <w:rPr>
          <w:rFonts w:ascii="Tahoma" w:hAnsi="Tahoma" w:cs="Tahoma"/>
          <w:b/>
          <w:sz w:val="24"/>
          <w:lang w:val="sr-Cyrl-CS"/>
        </w:rPr>
        <w:tab/>
      </w:r>
    </w:p>
    <w:p w:rsidR="0070074E" w:rsidRPr="00BA0D46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rFonts w:ascii="Arial Narrow" w:hAnsi="Arial Narrow" w:cs="Tahoma"/>
          <w:sz w:val="22"/>
          <w:lang w:val="sr-Cyrl-BA"/>
        </w:rPr>
        <w:t>П</w:t>
      </w:r>
      <w:r w:rsidRPr="00BA0D46">
        <w:rPr>
          <w:rFonts w:ascii="Arial Narrow" w:hAnsi="Arial Narrow" w:cs="Tahoma"/>
          <w:sz w:val="22"/>
          <w:lang w:val="sr-Cyrl-CS"/>
        </w:rPr>
        <w:t>росјечна</w:t>
      </w:r>
      <w:r w:rsidRPr="00BA0D46">
        <w:rPr>
          <w:rFonts w:ascii="Arial Narrow" w:hAnsi="Arial Narrow" w:cs="Tahoma"/>
          <w:sz w:val="22"/>
          <w:lang w:val="ru-RU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мјесечна</w:t>
      </w:r>
      <w:r w:rsidR="008E543D" w:rsidRPr="00BA0D46">
        <w:rPr>
          <w:rFonts w:ascii="Arial Narrow" w:hAnsi="Arial Narrow" w:cs="Tahoma"/>
          <w:sz w:val="22"/>
          <w:lang w:val="sr-Cyrl-CS"/>
        </w:rPr>
        <w:t xml:space="preserve"> нето</w:t>
      </w:r>
      <w:r w:rsidRPr="00BA0D46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у Републици Српској</w:t>
      </w:r>
      <w:r w:rsidRPr="00BA0D46">
        <w:rPr>
          <w:rFonts w:ascii="Arial Narrow" w:hAnsi="Arial Narrow" w:cs="Tahoma"/>
          <w:b/>
          <w:sz w:val="22"/>
          <w:lang w:val="ru-RU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839EA" w:rsidRPr="00BA0D46">
        <w:rPr>
          <w:rFonts w:ascii="Arial Narrow" w:hAnsi="Arial Narrow" w:cs="Tahoma"/>
          <w:sz w:val="22"/>
          <w:lang w:val="sr-Cyrl-BA"/>
        </w:rPr>
        <w:t>јуну</w:t>
      </w:r>
      <w:r w:rsidRPr="00BA0D4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BA0D46">
        <w:rPr>
          <w:rFonts w:ascii="Arial Narrow" w:hAnsi="Arial Narrow" w:cs="Tahoma"/>
          <w:sz w:val="22"/>
          <w:lang w:val="sr-Cyrl-CS"/>
        </w:rPr>
        <w:t>2</w:t>
      </w:r>
      <w:r w:rsidR="00895DA9" w:rsidRPr="00BA0D46">
        <w:rPr>
          <w:rFonts w:ascii="Arial Narrow" w:hAnsi="Arial Narrow" w:cs="Tahoma"/>
          <w:sz w:val="22"/>
          <w:lang w:val="sr-Latn-BA"/>
        </w:rPr>
        <w:t>4</w:t>
      </w:r>
      <w:r w:rsidRPr="00BA0D46">
        <w:rPr>
          <w:rFonts w:ascii="Arial Narrow" w:hAnsi="Arial Narrow" w:cs="Tahoma"/>
          <w:sz w:val="22"/>
          <w:lang w:val="sr-Cyrl-CS"/>
        </w:rPr>
        <w:t>.</w:t>
      </w:r>
      <w:r w:rsidRPr="00BA0D46">
        <w:rPr>
          <w:rFonts w:ascii="Arial Narrow" w:hAnsi="Arial Narrow" w:cs="Tahoma"/>
          <w:sz w:val="22"/>
          <w:lang w:val="ru-RU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BA0D46">
        <w:rPr>
          <w:rFonts w:ascii="Arial Narrow" w:hAnsi="Arial Narrow" w:cs="Tahoma"/>
          <w:sz w:val="22"/>
          <w:lang w:val="sr-Cyrl-BA"/>
        </w:rPr>
        <w:t>ла је</w:t>
      </w:r>
      <w:r w:rsidR="00021230" w:rsidRPr="00BA0D46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BA0D46">
        <w:rPr>
          <w:rFonts w:ascii="Arial Narrow" w:hAnsi="Arial Narrow" w:cs="Tahoma"/>
          <w:sz w:val="22"/>
          <w:lang w:val="sr-Cyrl-CS"/>
        </w:rPr>
        <w:t>1</w:t>
      </w:r>
      <w:r w:rsidR="004707B2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BA0D46">
        <w:rPr>
          <w:rFonts w:ascii="Arial Narrow" w:hAnsi="Arial Narrow" w:cs="Tahoma"/>
          <w:sz w:val="22"/>
          <w:lang w:val="sr-Cyrl-BA"/>
        </w:rPr>
        <w:t>4</w:t>
      </w:r>
      <w:r w:rsidR="001839EA" w:rsidRPr="00BA0D46">
        <w:rPr>
          <w:rFonts w:ascii="Arial Narrow" w:hAnsi="Arial Narrow" w:cs="Tahoma"/>
          <w:sz w:val="22"/>
          <w:lang w:val="sr-Cyrl-BA"/>
        </w:rPr>
        <w:t>26</w:t>
      </w:r>
      <w:r w:rsidRPr="00BA0D46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BA0D46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BA0D46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BA0D46">
        <w:rPr>
          <w:rFonts w:ascii="Arial Narrow" w:hAnsi="Arial Narrow" w:cs="Tahoma"/>
          <w:sz w:val="22"/>
          <w:lang w:val="sr-Cyrl-BA"/>
        </w:rPr>
        <w:t xml:space="preserve">на </w:t>
      </w:r>
      <w:r w:rsidR="001D0DF9" w:rsidRPr="00BA0D46">
        <w:rPr>
          <w:rFonts w:ascii="Arial Narrow" w:hAnsi="Arial Narrow" w:cs="Tahoma"/>
          <w:sz w:val="22"/>
          <w:lang w:val="sr-Cyrl-BA"/>
        </w:rPr>
        <w:t>мај</w:t>
      </w:r>
      <w:r w:rsidR="006D06C7" w:rsidRPr="00BA0D46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BA0D46">
        <w:rPr>
          <w:rFonts w:ascii="Arial Narrow" w:hAnsi="Arial Narrow" w:cs="Tahoma"/>
          <w:sz w:val="22"/>
          <w:lang w:val="sr-Latn-BA"/>
        </w:rPr>
        <w:t>4</w:t>
      </w:r>
      <w:r w:rsidR="002D34BC" w:rsidRPr="00BA0D46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BA0D46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BA0D46">
        <w:rPr>
          <w:rFonts w:ascii="Arial Narrow" w:hAnsi="Arial Narrow" w:cs="Tahoma"/>
          <w:sz w:val="22"/>
          <w:lang w:val="sr-Cyrl-BA"/>
        </w:rPr>
        <w:t>номинално</w:t>
      </w:r>
      <w:r w:rsidR="000A4E38" w:rsidRPr="00BA0D46">
        <w:rPr>
          <w:rFonts w:ascii="Arial Narrow" w:hAnsi="Arial Narrow" w:cs="Tahoma"/>
          <w:sz w:val="22"/>
          <w:lang w:val="sr-Cyrl-BA"/>
        </w:rPr>
        <w:t xml:space="preserve"> је већа</w:t>
      </w:r>
      <w:r w:rsidR="00575D9B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0A4E38" w:rsidRPr="00BA0D46">
        <w:rPr>
          <w:rFonts w:ascii="Arial Narrow" w:hAnsi="Arial Narrow" w:cs="Tahoma"/>
          <w:sz w:val="22"/>
          <w:lang w:val="sr-Cyrl-BA"/>
        </w:rPr>
        <w:t xml:space="preserve">за </w:t>
      </w:r>
      <w:r w:rsidR="001839EA" w:rsidRPr="00BA0D46">
        <w:rPr>
          <w:rFonts w:ascii="Arial Narrow" w:hAnsi="Arial Narrow" w:cs="Tahoma"/>
          <w:sz w:val="22"/>
          <w:lang w:val="sr-Cyrl-BA"/>
        </w:rPr>
        <w:t>1</w:t>
      </w:r>
      <w:r w:rsidR="000A4E38" w:rsidRPr="00BA0D46">
        <w:rPr>
          <w:rFonts w:ascii="Arial Narrow" w:hAnsi="Arial Narrow" w:cs="Tahoma"/>
          <w:sz w:val="22"/>
          <w:lang w:val="sr-Cyrl-BA"/>
        </w:rPr>
        <w:t>,</w:t>
      </w:r>
      <w:r w:rsidR="001839EA" w:rsidRPr="00BA0D46">
        <w:rPr>
          <w:rFonts w:ascii="Arial Narrow" w:hAnsi="Arial Narrow" w:cs="Tahoma"/>
          <w:sz w:val="22"/>
          <w:lang w:val="sr-Cyrl-BA"/>
        </w:rPr>
        <w:t>6</w:t>
      </w:r>
      <w:r w:rsidR="000A4E38" w:rsidRPr="00BA0D46">
        <w:rPr>
          <w:rFonts w:ascii="Arial Narrow" w:hAnsi="Arial Narrow" w:cs="Tahoma"/>
          <w:sz w:val="22"/>
          <w:lang w:val="sr-Cyrl-BA"/>
        </w:rPr>
        <w:t>%</w:t>
      </w:r>
      <w:r w:rsidR="001D0DF9" w:rsidRPr="00BA0D46">
        <w:rPr>
          <w:rFonts w:ascii="Arial Narrow" w:hAnsi="Arial Narrow" w:cs="Tahoma"/>
          <w:sz w:val="22"/>
          <w:lang w:val="sr-Cyrl-BA"/>
        </w:rPr>
        <w:t>,</w:t>
      </w:r>
      <w:r w:rsidR="000A4E38" w:rsidRPr="00BA0D46">
        <w:rPr>
          <w:rFonts w:ascii="Arial Narrow" w:hAnsi="Arial Narrow" w:cs="Tahoma"/>
          <w:sz w:val="22"/>
          <w:lang w:val="sr-Cyrl-BA"/>
        </w:rPr>
        <w:t xml:space="preserve"> а</w:t>
      </w:r>
      <w:r w:rsidR="00575D9B" w:rsidRPr="00BA0D46">
        <w:rPr>
          <w:rFonts w:ascii="Arial Narrow" w:hAnsi="Arial Narrow" w:cs="Tahoma"/>
          <w:sz w:val="22"/>
          <w:lang w:val="sr-Cyrl-BA"/>
        </w:rPr>
        <w:t xml:space="preserve"> реално</w:t>
      </w:r>
      <w:r w:rsidR="002D34BC" w:rsidRPr="00BA0D46">
        <w:rPr>
          <w:rFonts w:ascii="Arial Narrow" w:hAnsi="Arial Narrow" w:cs="Tahoma"/>
          <w:sz w:val="22"/>
          <w:lang w:val="sr-Latn-BA"/>
        </w:rPr>
        <w:t xml:space="preserve"> </w:t>
      </w:r>
      <w:r w:rsidR="000A4E38" w:rsidRPr="00BA0D46">
        <w:rPr>
          <w:rFonts w:ascii="Arial Narrow" w:hAnsi="Arial Narrow" w:cs="Tahoma"/>
          <w:sz w:val="22"/>
          <w:lang w:val="sr-Cyrl-BA"/>
        </w:rPr>
        <w:t xml:space="preserve">је </w:t>
      </w:r>
      <w:r w:rsidR="006D06C7" w:rsidRPr="00BA0D46">
        <w:rPr>
          <w:rFonts w:ascii="Arial Narrow" w:hAnsi="Arial Narrow" w:cs="Tahoma"/>
          <w:sz w:val="22"/>
          <w:lang w:val="sr-Cyrl-BA"/>
        </w:rPr>
        <w:t xml:space="preserve">већа за </w:t>
      </w:r>
      <w:r w:rsidR="001839EA" w:rsidRPr="00BA0D46">
        <w:rPr>
          <w:rFonts w:ascii="Arial Narrow" w:hAnsi="Arial Narrow" w:cs="Tahoma"/>
          <w:sz w:val="22"/>
          <w:lang w:val="sr-Cyrl-BA"/>
        </w:rPr>
        <w:t>2</w:t>
      </w:r>
      <w:r w:rsidR="006D06C7" w:rsidRPr="00BA0D46">
        <w:rPr>
          <w:rFonts w:ascii="Arial Narrow" w:hAnsi="Arial Narrow" w:cs="Tahoma"/>
          <w:sz w:val="22"/>
          <w:lang w:val="sr-Cyrl-BA"/>
        </w:rPr>
        <w:t>,</w:t>
      </w:r>
      <w:r w:rsidR="001839EA" w:rsidRPr="00BA0D46">
        <w:rPr>
          <w:rFonts w:ascii="Arial Narrow" w:hAnsi="Arial Narrow" w:cs="Tahoma"/>
          <w:sz w:val="22"/>
          <w:lang w:val="sr-Cyrl-BA"/>
        </w:rPr>
        <w:t>2</w:t>
      </w:r>
      <w:r w:rsidR="006D06C7" w:rsidRPr="00BA0D46">
        <w:rPr>
          <w:rFonts w:ascii="Arial Narrow" w:hAnsi="Arial Narrow" w:cs="Tahoma"/>
          <w:sz w:val="22"/>
          <w:lang w:val="sr-Cyrl-BA"/>
        </w:rPr>
        <w:t>%</w:t>
      </w:r>
      <w:r w:rsidR="005527E2" w:rsidRPr="00BA0D46">
        <w:rPr>
          <w:rFonts w:ascii="Arial Narrow" w:hAnsi="Arial Narrow" w:cs="Tahoma"/>
          <w:sz w:val="22"/>
          <w:lang w:val="sr-Cyrl-BA"/>
        </w:rPr>
        <w:t>,</w:t>
      </w:r>
      <w:r w:rsidR="006D06C7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BA0D46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BA0D46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BA0D46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839EA" w:rsidRPr="00BA0D46">
        <w:rPr>
          <w:rFonts w:ascii="Arial Narrow" w:hAnsi="Arial Narrow" w:cs="Tahoma"/>
          <w:sz w:val="22"/>
          <w:lang w:val="sr-Cyrl-BA"/>
        </w:rPr>
        <w:t>11</w:t>
      </w:r>
      <w:r w:rsidR="0070074E" w:rsidRPr="00BA0D46">
        <w:rPr>
          <w:rFonts w:ascii="Arial Narrow" w:hAnsi="Arial Narrow" w:cs="Tahoma"/>
          <w:sz w:val="22"/>
          <w:lang w:val="sr-Cyrl-BA"/>
        </w:rPr>
        <w:t>,</w:t>
      </w:r>
      <w:r w:rsidR="001839EA" w:rsidRPr="00BA0D46">
        <w:rPr>
          <w:rFonts w:ascii="Arial Narrow" w:hAnsi="Arial Narrow" w:cs="Tahoma"/>
          <w:sz w:val="22"/>
          <w:lang w:val="sr-Cyrl-BA"/>
        </w:rPr>
        <w:t>1</w:t>
      </w:r>
      <w:r w:rsidR="0070074E" w:rsidRPr="00BA0D46">
        <w:rPr>
          <w:rFonts w:ascii="Arial Narrow" w:hAnsi="Arial Narrow" w:cs="Tahoma"/>
          <w:sz w:val="22"/>
          <w:lang w:val="sr-Cyrl-BA"/>
        </w:rPr>
        <w:t>%</w:t>
      </w:r>
      <w:r w:rsidR="005527E2" w:rsidRPr="00BA0D46">
        <w:rPr>
          <w:rFonts w:ascii="Arial Narrow" w:hAnsi="Arial Narrow" w:cs="Tahoma"/>
          <w:sz w:val="22"/>
          <w:lang w:val="sr-Cyrl-BA"/>
        </w:rPr>
        <w:t>,</w:t>
      </w:r>
      <w:r w:rsidR="006D06C7" w:rsidRPr="00BA0D46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1839EA" w:rsidRPr="00BA0D46">
        <w:rPr>
          <w:rFonts w:ascii="Arial Narrow" w:hAnsi="Arial Narrow" w:cs="Tahoma"/>
          <w:sz w:val="22"/>
          <w:lang w:val="sr-Cyrl-BA"/>
        </w:rPr>
        <w:t>9</w:t>
      </w:r>
      <w:r w:rsidR="006D06C7" w:rsidRPr="00BA0D46">
        <w:rPr>
          <w:rFonts w:ascii="Arial Narrow" w:hAnsi="Arial Narrow" w:cs="Tahoma"/>
          <w:sz w:val="22"/>
          <w:lang w:val="sr-Cyrl-BA"/>
        </w:rPr>
        <w:t>,</w:t>
      </w:r>
      <w:r w:rsidR="001839EA" w:rsidRPr="00BA0D46">
        <w:rPr>
          <w:rFonts w:ascii="Arial Narrow" w:hAnsi="Arial Narrow" w:cs="Tahoma"/>
          <w:sz w:val="22"/>
          <w:lang w:val="sr-Cyrl-BA"/>
        </w:rPr>
        <w:t>2</w:t>
      </w:r>
      <w:r w:rsidR="006D06C7" w:rsidRPr="00BA0D46">
        <w:rPr>
          <w:rFonts w:ascii="Arial Narrow" w:hAnsi="Arial Narrow" w:cs="Tahoma"/>
          <w:sz w:val="22"/>
          <w:lang w:val="sr-Cyrl-BA"/>
        </w:rPr>
        <w:t>%</w:t>
      </w:r>
      <w:r w:rsidR="00B02167" w:rsidRPr="00BA0D46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BA0D46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BA0D46">
        <w:rPr>
          <w:rFonts w:ascii="Arial Narrow" w:hAnsi="Arial Narrow" w:cs="Tahoma"/>
          <w:sz w:val="22"/>
          <w:lang w:val="ru-RU"/>
        </w:rPr>
        <w:t xml:space="preserve"> </w:t>
      </w:r>
      <w:r w:rsidR="004D737B" w:rsidRPr="00BA0D46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BA0D46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BA0D46">
        <w:rPr>
          <w:rFonts w:ascii="Arial Narrow" w:hAnsi="Arial Narrow" w:cs="Tahoma"/>
          <w:sz w:val="22"/>
          <w:lang w:val="sr-Latn-BA"/>
        </w:rPr>
        <w:t>2</w:t>
      </w:r>
      <w:r w:rsidR="00D11D67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BA0D46">
        <w:rPr>
          <w:rFonts w:ascii="Arial Narrow" w:hAnsi="Arial Narrow" w:cs="Tahoma"/>
          <w:sz w:val="22"/>
          <w:lang w:val="sr-Latn-BA"/>
        </w:rPr>
        <w:t>1</w:t>
      </w:r>
      <w:r w:rsidR="001839EA" w:rsidRPr="00BA0D46">
        <w:rPr>
          <w:rFonts w:ascii="Arial Narrow" w:hAnsi="Arial Narrow" w:cs="Tahoma"/>
          <w:sz w:val="22"/>
          <w:lang w:val="sr-Cyrl-BA"/>
        </w:rPr>
        <w:t>82</w:t>
      </w:r>
      <w:r w:rsidR="004D737B" w:rsidRPr="00BA0D46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BA0D46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BA0D46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BA0D46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BA0D46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839EA" w:rsidRPr="00BA0D46">
        <w:rPr>
          <w:rFonts w:ascii="Arial Narrow" w:hAnsi="Arial Narrow" w:cs="Tahoma"/>
          <w:sz w:val="22"/>
          <w:lang w:val="sr-Cyrl-CS"/>
        </w:rPr>
        <w:t>јуну</w:t>
      </w:r>
      <w:r w:rsidRPr="00BA0D4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BA0D46">
        <w:rPr>
          <w:rFonts w:ascii="Arial Narrow" w:hAnsi="Arial Narrow" w:cs="Tahoma"/>
          <w:sz w:val="22"/>
          <w:lang w:val="sr-Cyrl-CS"/>
        </w:rPr>
        <w:t>2</w:t>
      </w:r>
      <w:r w:rsidR="00895DA9" w:rsidRPr="00BA0D46">
        <w:rPr>
          <w:rFonts w:ascii="Arial Narrow" w:hAnsi="Arial Narrow" w:cs="Tahoma"/>
          <w:sz w:val="22"/>
          <w:lang w:val="sr-Latn-BA"/>
        </w:rPr>
        <w:t>4</w:t>
      </w:r>
      <w:r w:rsidRPr="00BA0D46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BA0D46">
        <w:rPr>
          <w:rFonts w:ascii="Arial Narrow" w:hAnsi="Arial Narrow" w:cs="Tahoma"/>
          <w:sz w:val="22"/>
          <w:lang w:val="sr-Cyrl-CS"/>
        </w:rPr>
        <w:t xml:space="preserve">нето </w:t>
      </w:r>
      <w:r w:rsidRPr="00BA0D46">
        <w:rPr>
          <w:rFonts w:ascii="Arial Narrow" w:hAnsi="Arial Narrow" w:cs="Tahoma"/>
          <w:sz w:val="22"/>
          <w:lang w:val="sr-Cyrl-CS"/>
        </w:rPr>
        <w:t>плата</w:t>
      </w:r>
      <w:r w:rsidR="00667CDB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BA0D46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BA0D46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BA0D46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и износи</w:t>
      </w:r>
      <w:r w:rsidR="00F6529E" w:rsidRPr="00BA0D46">
        <w:rPr>
          <w:rFonts w:ascii="Arial Narrow" w:hAnsi="Arial Narrow" w:cs="Tahoma"/>
          <w:sz w:val="22"/>
          <w:lang w:val="sr-Cyrl-CS"/>
        </w:rPr>
        <w:t>ла је</w:t>
      </w:r>
      <w:r w:rsidRPr="00BA0D46">
        <w:rPr>
          <w:rFonts w:ascii="Arial Narrow" w:hAnsi="Arial Narrow" w:cs="Tahoma"/>
          <w:sz w:val="22"/>
          <w:lang w:val="sr-Cyrl-CS"/>
        </w:rPr>
        <w:t xml:space="preserve"> 1 </w:t>
      </w:r>
      <w:r w:rsidR="001F55F5" w:rsidRPr="00BA0D46">
        <w:rPr>
          <w:rFonts w:ascii="Arial Narrow" w:hAnsi="Arial Narrow" w:cs="Tahoma"/>
          <w:sz w:val="22"/>
          <w:lang w:val="sr-Latn-BA"/>
        </w:rPr>
        <w:t>791</w:t>
      </w:r>
      <w:r w:rsidRPr="00BA0D46">
        <w:rPr>
          <w:rFonts w:ascii="Arial Narrow" w:hAnsi="Arial Narrow" w:cs="Tahoma"/>
          <w:sz w:val="22"/>
          <w:lang w:val="sr-Cyrl-CS"/>
        </w:rPr>
        <w:t xml:space="preserve"> КМ</w:t>
      </w:r>
      <w:r w:rsidRPr="00BA0D46">
        <w:rPr>
          <w:rFonts w:ascii="Arial Narrow" w:hAnsi="Arial Narrow" w:cs="Tahoma"/>
          <w:sz w:val="22"/>
          <w:lang w:val="sr-Latn-CS"/>
        </w:rPr>
        <w:t>,</w:t>
      </w:r>
      <w:r w:rsidR="003C37BB" w:rsidRPr="00BA0D46">
        <w:rPr>
          <w:rFonts w:ascii="Arial Narrow" w:hAnsi="Arial Narrow" w:cs="Tahoma"/>
          <w:sz w:val="22"/>
          <w:lang w:val="sr-Cyrl-BA"/>
        </w:rPr>
        <w:t xml:space="preserve"> а</w:t>
      </w:r>
      <w:r w:rsidRPr="00BA0D46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BA0D46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BA0D46">
        <w:rPr>
          <w:rFonts w:ascii="Arial Narrow" w:hAnsi="Arial Narrow" w:cs="Tahoma"/>
          <w:sz w:val="22"/>
          <w:lang w:val="sr-Cyrl-CS"/>
        </w:rPr>
        <w:t xml:space="preserve">нето </w:t>
      </w:r>
      <w:r w:rsidRPr="00BA0D46">
        <w:rPr>
          <w:rFonts w:ascii="Arial Narrow" w:hAnsi="Arial Narrow" w:cs="Tahoma"/>
          <w:sz w:val="22"/>
          <w:lang w:val="sr-Cyrl-CS"/>
        </w:rPr>
        <w:t>плата</w:t>
      </w:r>
      <w:r w:rsidR="00667CDB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 xml:space="preserve">у </w:t>
      </w:r>
      <w:r w:rsidR="001F55F5" w:rsidRPr="00BA0D46">
        <w:rPr>
          <w:rFonts w:ascii="Arial Narrow" w:hAnsi="Arial Narrow" w:cs="Tahoma"/>
          <w:sz w:val="22"/>
          <w:lang w:val="sr-Cyrl-BA"/>
        </w:rPr>
        <w:t>јуну</w:t>
      </w:r>
      <w:r w:rsidRPr="00BA0D4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BA0D46">
        <w:rPr>
          <w:rFonts w:ascii="Arial Narrow" w:hAnsi="Arial Narrow" w:cs="Tahoma"/>
          <w:sz w:val="22"/>
          <w:lang w:val="sr-Cyrl-CS"/>
        </w:rPr>
        <w:t>2</w:t>
      </w:r>
      <w:r w:rsidR="00895DA9" w:rsidRPr="00BA0D46">
        <w:rPr>
          <w:rFonts w:ascii="Arial Narrow" w:hAnsi="Arial Narrow" w:cs="Tahoma"/>
          <w:sz w:val="22"/>
          <w:lang w:val="sr-Latn-BA"/>
        </w:rPr>
        <w:t>4</w:t>
      </w:r>
      <w:r w:rsidRPr="00BA0D46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BA0D46">
        <w:rPr>
          <w:rFonts w:ascii="Arial Narrow" w:hAnsi="Arial Narrow" w:cs="Tahoma"/>
          <w:sz w:val="22"/>
          <w:lang w:val="sr-Cyrl-CS"/>
        </w:rPr>
        <w:t xml:space="preserve">године </w:t>
      </w:r>
      <w:r w:rsidRPr="00BA0D46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BA0D46">
        <w:rPr>
          <w:rFonts w:ascii="Arial Narrow" w:hAnsi="Arial Narrow" w:cs="Tahoma"/>
          <w:sz w:val="22"/>
          <w:lang w:val="sr-Cyrl-CS"/>
        </w:rPr>
        <w:t>у</w:t>
      </w:r>
      <w:r w:rsidR="00BC5673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BA0D46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BA0D46">
        <w:rPr>
          <w:rFonts w:ascii="Arial Narrow" w:hAnsi="Arial Narrow" w:cs="Tahoma"/>
          <w:sz w:val="22"/>
          <w:lang w:val="sr-Cyrl-CS"/>
        </w:rPr>
        <w:t>,</w:t>
      </w:r>
      <w:r w:rsidR="009B65CC" w:rsidRPr="00BA0D46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BA0D46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BA0D46">
        <w:rPr>
          <w:rFonts w:ascii="Arial Narrow" w:hAnsi="Arial Narrow" w:cs="Tahoma"/>
          <w:sz w:val="22"/>
          <w:lang w:val="sr-Cyrl-BA"/>
        </w:rPr>
        <w:t>1</w:t>
      </w:r>
      <w:r w:rsidR="001F55F5" w:rsidRPr="00BA0D46">
        <w:rPr>
          <w:rFonts w:ascii="Arial Narrow" w:hAnsi="Arial Narrow" w:cs="Tahoma"/>
          <w:sz w:val="22"/>
          <w:lang w:val="sr-Cyrl-BA"/>
        </w:rPr>
        <w:t>11</w:t>
      </w:r>
      <w:r w:rsidR="00886016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>КМ.</w:t>
      </w:r>
    </w:p>
    <w:p w:rsidR="00E33D13" w:rsidRPr="00BA0D46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BA0D46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BA0D4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F55F5" w:rsidRPr="00BA0D46">
        <w:rPr>
          <w:rFonts w:ascii="Arial Narrow" w:hAnsi="Arial Narrow" w:cs="Tahoma"/>
          <w:sz w:val="22"/>
          <w:szCs w:val="22"/>
          <w:lang w:val="sr-Cyrl-CS"/>
        </w:rPr>
        <w:t>јуну</w:t>
      </w:r>
      <w:r w:rsidRPr="00BA0D4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BA0D46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BA0D46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BA0D46">
        <w:rPr>
          <w:rFonts w:ascii="Arial Narrow" w:hAnsi="Arial Narrow" w:cs="Tahoma"/>
          <w:sz w:val="22"/>
          <w:szCs w:val="22"/>
          <w:lang w:val="sr-Latn-BA"/>
        </w:rPr>
        <w:t>4</w:t>
      </w:r>
      <w:r w:rsidRPr="00BA0D46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F55F5" w:rsidRPr="00BA0D46">
        <w:rPr>
          <w:rFonts w:ascii="Arial Narrow" w:hAnsi="Arial Narrow" w:cs="Tahoma"/>
          <w:sz w:val="22"/>
          <w:szCs w:val="22"/>
          <w:lang w:val="ru-RU"/>
        </w:rPr>
        <w:t>јун</w:t>
      </w:r>
      <w:r w:rsidR="004E680B" w:rsidRPr="00BA0D4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BA0D46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BA0D46">
        <w:rPr>
          <w:rFonts w:ascii="Arial Narrow" w:hAnsi="Arial Narrow" w:cs="Tahoma"/>
          <w:sz w:val="22"/>
          <w:szCs w:val="22"/>
          <w:lang w:val="sr-Latn-BA"/>
        </w:rPr>
        <w:t>3</w:t>
      </w:r>
      <w:r w:rsidRPr="00BA0D46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BA0D46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BA0D46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BA0D46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BA0D4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BA0D46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575D9B" w:rsidRPr="00BA0D46">
        <w:rPr>
          <w:rFonts w:ascii="Arial Narrow" w:hAnsi="Arial Narrow" w:cs="Tahoma"/>
          <w:i/>
          <w:sz w:val="22"/>
          <w:szCs w:val="22"/>
          <w:lang w:val="sr-Cyrl-BA"/>
        </w:rPr>
        <w:t>Снабдијевање водом</w:t>
      </w:r>
      <w:r w:rsidR="0023667E" w:rsidRPr="00BA0D46">
        <w:rPr>
          <w:rFonts w:ascii="Arial Narrow" w:hAnsi="Arial Narrow" w:cs="Tahoma"/>
          <w:i/>
          <w:sz w:val="22"/>
          <w:szCs w:val="22"/>
        </w:rPr>
        <w:t>,</w:t>
      </w:r>
      <w:r w:rsidR="00575D9B"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канализација, управљање отпадом и дјелатности санације (ремедијације) животне средине</w:t>
      </w:r>
      <w:r w:rsidR="000A4E38" w:rsidRPr="00BA0D46">
        <w:rPr>
          <w:rFonts w:ascii="Arial Narrow" w:hAnsi="Arial Narrow" w:cs="Tahoma"/>
          <w:sz w:val="22"/>
          <w:szCs w:val="22"/>
          <w:lang w:val="sr-Cyrl-BA"/>
        </w:rPr>
        <w:t xml:space="preserve"> 19</w:t>
      </w:r>
      <w:r w:rsidR="006D06C7" w:rsidRPr="00BA0D46">
        <w:rPr>
          <w:rFonts w:ascii="Arial Narrow" w:hAnsi="Arial Narrow" w:cs="Tahoma"/>
          <w:sz w:val="22"/>
          <w:szCs w:val="22"/>
          <w:lang w:val="sr-Cyrl-BA"/>
        </w:rPr>
        <w:t>,</w:t>
      </w:r>
      <w:r w:rsidR="001F55F5" w:rsidRPr="00BA0D46">
        <w:rPr>
          <w:rFonts w:ascii="Arial Narrow" w:hAnsi="Arial Narrow" w:cs="Tahoma"/>
          <w:sz w:val="22"/>
          <w:szCs w:val="22"/>
          <w:lang w:val="sr-Cyrl-BA"/>
        </w:rPr>
        <w:t>1</w:t>
      </w:r>
      <w:r w:rsidR="006D06C7" w:rsidRPr="00BA0D46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BA0D46">
        <w:rPr>
          <w:rFonts w:ascii="Arial Narrow" w:hAnsi="Arial Narrow" w:cs="Tahoma"/>
          <w:sz w:val="22"/>
          <w:szCs w:val="22"/>
          <w:lang w:val="sr-Cyrl-BA"/>
        </w:rPr>
        <w:t>,</w:t>
      </w:r>
      <w:r w:rsidR="001F55F5"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Трговина на велико и на мало, поправка моторних возила и мотоцикала </w:t>
      </w:r>
      <w:r w:rsidR="001F55F5" w:rsidRPr="00BA0D46">
        <w:rPr>
          <w:rFonts w:ascii="Arial Narrow" w:hAnsi="Arial Narrow" w:cs="Tahoma"/>
          <w:sz w:val="22"/>
          <w:lang w:val="sr-Cyrl-BA"/>
        </w:rPr>
        <w:t>19</w:t>
      </w:r>
      <w:r w:rsidR="001F55F5" w:rsidRPr="00BA0D46">
        <w:rPr>
          <w:rFonts w:ascii="Arial Narrow" w:hAnsi="Arial Narrow" w:cs="Tahoma"/>
          <w:sz w:val="22"/>
          <w:lang w:val="sr-Cyrl-CS"/>
        </w:rPr>
        <w:t>,1%</w:t>
      </w:r>
      <w:r w:rsidR="001F55F5" w:rsidRPr="00BA0D46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1F55F5"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Стручне, научне  и техничке дјелатности </w:t>
      </w:r>
      <w:r w:rsidR="001F55F5" w:rsidRPr="00BA0D46">
        <w:rPr>
          <w:rFonts w:ascii="Arial Narrow" w:hAnsi="Arial Narrow" w:cs="Tahoma"/>
          <w:sz w:val="22"/>
          <w:szCs w:val="22"/>
          <w:lang w:val="sr-Cyrl-BA"/>
        </w:rPr>
        <w:t>18,2%</w:t>
      </w:r>
      <w:r w:rsidR="00031D5C" w:rsidRPr="00BA0D46">
        <w:rPr>
          <w:rFonts w:ascii="Arial Narrow" w:hAnsi="Arial Narrow" w:cs="Tahoma"/>
          <w:sz w:val="22"/>
          <w:lang w:val="sr-Cyrl-CS"/>
        </w:rPr>
        <w:t>.</w:t>
      </w:r>
      <w:r w:rsidR="00374B48" w:rsidRPr="00BA0D46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BA0D46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BA0D46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BA0D46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BA0D46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BA0D46">
        <w:rPr>
          <w:rFonts w:ascii="Tahoma" w:hAnsi="Tahoma" w:cs="Tahoma"/>
          <w:i/>
          <w:sz w:val="14"/>
          <w:lang w:val="sr-Cyrl-CS"/>
        </w:rPr>
        <w:t xml:space="preserve"> </w:t>
      </w:r>
      <w:r w:rsidRPr="00BA0D46">
        <w:rPr>
          <w:rFonts w:ascii="Tahoma" w:hAnsi="Tahoma" w:cs="Tahoma"/>
          <w:sz w:val="14"/>
          <w:lang w:val="sr-Cyrl-CS"/>
        </w:rPr>
        <w:t xml:space="preserve">   </w:t>
      </w:r>
      <w:r w:rsidRPr="00BA0D46">
        <w:rPr>
          <w:rFonts w:ascii="Tahoma" w:hAnsi="Tahoma" w:cs="Tahoma"/>
          <w:sz w:val="14"/>
          <w:lang w:val="sr-Latn-CS"/>
        </w:rPr>
        <w:tab/>
      </w:r>
      <w:r w:rsidRPr="00BA0D46">
        <w:rPr>
          <w:rFonts w:ascii="Tahoma" w:hAnsi="Tahoma" w:cs="Tahoma"/>
          <w:sz w:val="14"/>
          <w:lang w:val="sr-Latn-CS"/>
        </w:rPr>
        <w:tab/>
      </w:r>
      <w:r w:rsidRPr="00BA0D46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BA0D46">
        <w:rPr>
          <w:rFonts w:ascii="Tahoma" w:hAnsi="Tahoma" w:cs="Tahoma"/>
          <w:sz w:val="14"/>
          <w:lang w:val="sr-Cyrl-BA"/>
        </w:rPr>
        <w:t xml:space="preserve">  </w:t>
      </w:r>
      <w:r w:rsidR="0062701E" w:rsidRPr="00BA0D46">
        <w:rPr>
          <w:rFonts w:ascii="Tahoma" w:hAnsi="Tahoma" w:cs="Tahoma"/>
          <w:sz w:val="14"/>
          <w:lang w:val="sr-Cyrl-BA"/>
        </w:rPr>
        <w:t xml:space="preserve"> </w:t>
      </w:r>
      <w:r w:rsidR="00F85AAC" w:rsidRPr="00BA0D46">
        <w:rPr>
          <w:rFonts w:ascii="Tahoma" w:hAnsi="Tahoma" w:cs="Tahoma"/>
          <w:sz w:val="14"/>
          <w:lang w:val="sr-Cyrl-BA"/>
        </w:rPr>
        <w:t xml:space="preserve"> </w:t>
      </w:r>
      <w:r w:rsidR="00DE7AB2" w:rsidRPr="00BA0D46">
        <w:rPr>
          <w:rFonts w:ascii="Arial Narrow" w:hAnsi="Arial Narrow" w:cs="Tahoma"/>
          <w:sz w:val="16"/>
          <w:szCs w:val="22"/>
        </w:rPr>
        <w:t>KM</w:t>
      </w:r>
    </w:p>
    <w:p w:rsidR="00E33D13" w:rsidRPr="00BA0D46" w:rsidRDefault="00425891" w:rsidP="00E33D13">
      <w:pPr>
        <w:jc w:val="center"/>
        <w:rPr>
          <w:rFonts w:ascii="Tahoma" w:hAnsi="Tahoma" w:cs="Tahoma"/>
          <w:lang w:val="sr-Cyrl-BA"/>
        </w:rPr>
      </w:pPr>
      <w:r w:rsidRPr="00BA0D46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BA0D46">
        <w:rPr>
          <w:noProof/>
        </w:rPr>
        <w:t xml:space="preserve"> </w:t>
      </w:r>
      <w:r w:rsidR="00E33D13" w:rsidRPr="00BA0D46">
        <w:rPr>
          <w:rFonts w:ascii="Tahoma" w:hAnsi="Tahoma" w:cs="Tahoma"/>
          <w:szCs w:val="18"/>
          <w:lang w:val="sr-Cyrl-BA"/>
        </w:rPr>
        <w:t xml:space="preserve"> </w:t>
      </w:r>
      <w:r w:rsidR="00895DA9" w:rsidRPr="00BA0D46">
        <w:rPr>
          <w:noProof/>
        </w:rPr>
        <w:drawing>
          <wp:inline distT="0" distB="0" distL="0" distR="0" wp14:anchorId="5FEB7567" wp14:editId="6703EB9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BA0D46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BA0D46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BA0D46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BA0D46">
        <w:rPr>
          <w:rFonts w:ascii="Arial Narrow" w:hAnsi="Arial Narrow" w:cs="Tahoma"/>
          <w:sz w:val="16"/>
          <w:szCs w:val="22"/>
          <w:lang w:val="sr-Latn-BA"/>
        </w:rPr>
        <w:t>1</w:t>
      </w:r>
      <w:r w:rsidRPr="00BA0D46">
        <w:rPr>
          <w:rFonts w:ascii="Arial Narrow" w:hAnsi="Arial Narrow" w:cs="Tahoma"/>
          <w:sz w:val="16"/>
          <w:szCs w:val="22"/>
          <w:lang w:val="sr-Cyrl-CS"/>
        </w:rPr>
        <w:t>.</w:t>
      </w:r>
      <w:r w:rsidRPr="00BA0D4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BA0D46">
        <w:rPr>
          <w:rFonts w:ascii="Arial Narrow" w:hAnsi="Arial Narrow" w:cs="Tahoma"/>
          <w:sz w:val="16"/>
          <w:szCs w:val="22"/>
          <w:lang w:val="sr-Cyrl-CS"/>
        </w:rPr>
        <w:t>П</w:t>
      </w:r>
      <w:r w:rsidRPr="00BA0D46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BA0D46">
        <w:rPr>
          <w:rFonts w:ascii="Arial Narrow" w:hAnsi="Arial Narrow" w:cs="Tahoma"/>
          <w:sz w:val="16"/>
          <w:szCs w:val="22"/>
        </w:rPr>
        <w:t>а</w:t>
      </w:r>
      <w:r w:rsidRPr="00BA0D46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BA0D46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BA0D46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BA0D46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BA0D4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BA0D46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BA0D46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BA0D46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A0D4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A0D4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A0D4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A0D4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A0D4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A0D4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BA0D46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BA0D46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091560" w:rsidRPr="00BA0D46">
        <w:rPr>
          <w:rFonts w:ascii="Arial Narrow" w:hAnsi="Arial Narrow" w:cs="Tahoma"/>
          <w:b/>
          <w:sz w:val="28"/>
          <w:szCs w:val="24"/>
          <w:lang w:val="sr-Cyrl-BA"/>
        </w:rPr>
        <w:t>јун</w:t>
      </w:r>
      <w:r w:rsidR="00A32928" w:rsidRPr="00BA0D46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BA0D46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BA0D46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277C1B" w:rsidRPr="00BA0D46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091560" w:rsidRPr="00BA0D46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BA0D4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BA0D4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BA0D46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0406B" w:rsidRPr="00BA0D46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091560" w:rsidRPr="00BA0D4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BA0D46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BA0D46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70406B" w:rsidRPr="00BA0D46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091560" w:rsidRPr="00BA0D4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BA0D46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BA0D46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091560" w:rsidRPr="00BA0D46">
        <w:rPr>
          <w:rFonts w:ascii="Arial Narrow" w:hAnsi="Arial Narrow" w:cs="Tahoma"/>
          <w:b/>
          <w:sz w:val="28"/>
          <w:szCs w:val="24"/>
          <w:lang w:val="en-GB"/>
        </w:rPr>
        <w:t>1</w:t>
      </w:r>
      <w:r w:rsidR="00091560" w:rsidRPr="00BA0D46">
        <w:rPr>
          <w:rFonts w:ascii="Arial Narrow" w:hAnsi="Arial Narrow" w:cs="Tahoma"/>
          <w:b/>
          <w:sz w:val="28"/>
          <w:szCs w:val="24"/>
          <w:lang w:val="sr-Cyrl-BA"/>
        </w:rPr>
        <w:t>,7</w:t>
      </w:r>
      <w:r w:rsidRPr="00BA0D4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BA0D4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BA0D46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BA0D46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091560" w:rsidRPr="00BA0D46">
        <w:rPr>
          <w:rFonts w:ascii="Arial Narrow" w:hAnsi="Arial Narrow" w:cs="Tahoma"/>
          <w:sz w:val="22"/>
          <w:szCs w:val="22"/>
          <w:lang w:val="sr-Cyrl-BA"/>
        </w:rPr>
        <w:t>јун</w:t>
      </w:r>
      <w:r w:rsidR="00A32928" w:rsidRPr="00BA0D46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BA0D46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BA0D46">
        <w:rPr>
          <w:rFonts w:ascii="Arial Narrow" w:hAnsi="Arial Narrow" w:cs="Tahoma"/>
          <w:sz w:val="22"/>
          <w:szCs w:val="22"/>
          <w:lang w:val="sr-Latn-BA"/>
        </w:rPr>
        <w:t>4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BA0D46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BA0D46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70406B" w:rsidRPr="00BA0D46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091560" w:rsidRPr="00BA0D46">
        <w:rPr>
          <w:rFonts w:ascii="Arial Narrow" w:hAnsi="Arial Narrow" w:cs="Tahoma"/>
          <w:sz w:val="22"/>
          <w:szCs w:val="22"/>
          <w:lang w:val="sr-Cyrl-BA"/>
        </w:rPr>
        <w:t>ниже за 0,5</w:t>
      </w:r>
      <w:r w:rsidR="00277C1B" w:rsidRPr="00BA0D46">
        <w:rPr>
          <w:rFonts w:ascii="Arial Narrow" w:hAnsi="Arial Narrow" w:cs="Tahoma"/>
          <w:sz w:val="22"/>
          <w:szCs w:val="22"/>
          <w:lang w:val="sr-Cyrl-BA"/>
        </w:rPr>
        <w:t>%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, док су у односу на исти мјесец претх</w:t>
      </w:r>
      <w:r w:rsidR="001B0557" w:rsidRPr="00BA0D46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BA0D46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091560" w:rsidRPr="00BA0D46">
        <w:rPr>
          <w:rFonts w:ascii="Arial Narrow" w:hAnsi="Arial Narrow" w:cs="Tahoma"/>
          <w:sz w:val="22"/>
          <w:szCs w:val="22"/>
          <w:lang w:val="sr-Cyrl-BA"/>
        </w:rPr>
        <w:t xml:space="preserve"> више за 1,7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BA0D46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BA0D46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</w:t>
      </w:r>
      <w:r w:rsidR="006760F5" w:rsidRPr="00BA0D46">
        <w:rPr>
          <w:rFonts w:ascii="Arial Narrow" w:hAnsi="Arial Narrow" w:cs="Tahoma"/>
          <w:sz w:val="22"/>
          <w:szCs w:val="22"/>
          <w:lang w:val="sr-Cyrl-BA"/>
        </w:rPr>
        <w:t xml:space="preserve">више цијене </w:t>
      </w:r>
      <w:r w:rsidR="009A53BA" w:rsidRPr="00BA0D46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="006760F5" w:rsidRPr="00BA0D46">
        <w:rPr>
          <w:rFonts w:ascii="Arial Narrow" w:hAnsi="Arial Narrow" w:cs="Tahoma"/>
          <w:sz w:val="22"/>
          <w:szCs w:val="22"/>
          <w:lang w:val="sr-Cyrl-BA"/>
        </w:rPr>
        <w:t>забиљежене су у једанаес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т, а </w:t>
      </w:r>
      <w:r w:rsidR="006760F5" w:rsidRPr="00BA0D46">
        <w:rPr>
          <w:rFonts w:ascii="Arial Narrow" w:hAnsi="Arial Narrow" w:cs="Tahoma"/>
          <w:sz w:val="22"/>
          <w:szCs w:val="22"/>
          <w:lang w:val="sr-Cyrl-BA"/>
        </w:rPr>
        <w:t>ниже цијене у једном</w:t>
      </w:r>
      <w:r w:rsidR="009348EF" w:rsidRPr="00BA0D46">
        <w:rPr>
          <w:rFonts w:ascii="Arial Narrow" w:hAnsi="Arial Narrow" w:cs="Tahoma"/>
          <w:sz w:val="22"/>
          <w:szCs w:val="22"/>
          <w:lang w:val="sr-Cyrl-BA"/>
        </w:rPr>
        <w:t xml:space="preserve"> одјељку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70406B" w:rsidRPr="00BA0D46" w:rsidRDefault="0070406B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јуну 2024. године, забиљежен је у одјељку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6,3%, усљед повећања цијена у групи Услуге смјештаја од 13,5%, затим у одјељку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5,0%, због повећања у групи Пиво од 11,6%, а</w:t>
      </w:r>
      <w:r w:rsidRPr="00BA0D46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потом и у одјељку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5,0%, усљед виших цијена у групи Услуге личне хигијене од 8,5%</w:t>
      </w:r>
      <w:r w:rsidRPr="00BA0D46">
        <w:rPr>
          <w:rFonts w:ascii="Arial Narrow" w:hAnsi="Arial Narrow" w:cs="Tahoma"/>
          <w:sz w:val="22"/>
          <w:szCs w:val="22"/>
        </w:rPr>
        <w:t>.</w:t>
      </w: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са повећањем од </w:t>
      </w:r>
      <w:r w:rsidRPr="00BA0D46">
        <w:rPr>
          <w:rFonts w:ascii="Arial Narrow" w:hAnsi="Arial Narrow" w:cs="Tahoma"/>
          <w:iCs/>
          <w:sz w:val="22"/>
          <w:szCs w:val="22"/>
          <w:lang w:val="sr-Cyrl-BA"/>
        </w:rPr>
        <w:t xml:space="preserve">4,3%, због виших цијена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у групи Књиге и уџбеници од 9,0%, потом одјељак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са вишим цијенама од 2,8%, усљед повећања у групи Медицински производи</w:t>
      </w:r>
      <w:r w:rsidRPr="00BA0D46">
        <w:rPr>
          <w:rFonts w:ascii="Arial Narrow" w:hAnsi="Arial Narrow" w:cs="Tahoma"/>
          <w:sz w:val="22"/>
          <w:szCs w:val="22"/>
          <w:lang w:val="en-GB"/>
        </w:rPr>
        <w:t>,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прибор и опрема</w:t>
      </w:r>
      <w:r w:rsidRPr="00BA0D46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од 5,7%, </w:t>
      </w:r>
      <w:r w:rsidR="00141E03" w:rsidRPr="00BA0D46">
        <w:rPr>
          <w:rFonts w:ascii="Arial Narrow" w:hAnsi="Arial Narrow" w:cs="Tahoma"/>
          <w:sz w:val="22"/>
          <w:szCs w:val="22"/>
          <w:lang w:val="sr-Cyrl-BA"/>
        </w:rPr>
        <w:t>затим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одјељак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са растом од 2,5% усљед виших цијена у групи Остале услуге везане за моторна возила од 22,0%. </w:t>
      </w: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BA0D46">
        <w:rPr>
          <w:rFonts w:ascii="Arial Narrow" w:hAnsi="Arial Narrow" w:cs="Tahoma"/>
          <w:sz w:val="22"/>
          <w:szCs w:val="22"/>
          <w:lang w:val="sr-Cyrl-BA"/>
        </w:rPr>
        <w:t>Повећање од 1,6% забиљежено је у одјељку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, због виших цијена у групи Поправак апарата за домаћинство од</w:t>
      </w:r>
      <w:r w:rsidRPr="00BA0D46">
        <w:rPr>
          <w:rFonts w:ascii="Arial Narrow" w:hAnsi="Arial Narrow" w:cs="Tahoma"/>
          <w:sz w:val="22"/>
          <w:szCs w:val="22"/>
          <w:lang w:val="en-GB"/>
        </w:rPr>
        <w:t xml:space="preserve"> 52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,4%, исти проценат повећања</w:t>
      </w:r>
      <w:r w:rsidR="00F07184" w:rsidRPr="00BA0D4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07184" w:rsidRPr="00BA0D46">
        <w:rPr>
          <w:rFonts w:ascii="Arial Narrow" w:hAnsi="Arial Narrow" w:cs="Tahoma"/>
          <w:sz w:val="22"/>
          <w:szCs w:val="22"/>
          <w:lang w:val="sr-Cyrl-BA"/>
        </w:rPr>
        <w:t>од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1,6% забиљежен је у одјељку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BA0D46">
        <w:rPr>
          <w:rFonts w:ascii="Arial Narrow" w:hAnsi="Arial Narrow" w:cs="Tahoma"/>
          <w:iCs/>
          <w:sz w:val="22"/>
          <w:szCs w:val="22"/>
          <w:lang w:val="sr-Cyrl-BA"/>
        </w:rPr>
        <w:t xml:space="preserve">,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Ренте станара од </w:t>
      </w:r>
      <w:r w:rsidRPr="00BA0D46">
        <w:rPr>
          <w:rFonts w:ascii="Arial Narrow" w:hAnsi="Arial Narrow" w:cs="Tahoma"/>
          <w:sz w:val="22"/>
          <w:szCs w:val="22"/>
          <w:lang w:val="en-GB"/>
        </w:rPr>
        <w:t>1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6,5%, слиједи одјељак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са растом од 1,5%, усљед виших цијена у групи Телефонске и телекомуникацијске услуге од 1,7%, затим одјељак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са вишим цијенама од 0,6%, због повећања у групи Образовање које се не дефинише према нивоу од 7,9%, док је повећање од 0,5% забиљежено у одјељку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пића,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Минерална вода и сокови од 8,3% и у групи остали прехрамбени производи од 5,0%. </w:t>
      </w: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91560" w:rsidRPr="00BA0D46" w:rsidRDefault="00091560" w:rsidP="00091560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јуну 2024. године, забиљежене су у одјељку </w:t>
      </w:r>
      <w:r w:rsidRPr="00BA0D46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 8,0%, због сезонских снижења конфекције и обуће током године. </w:t>
      </w:r>
    </w:p>
    <w:p w:rsidR="00502006" w:rsidRPr="00BA0D46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BA0D46" w:rsidRDefault="00502006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9A53BA" w:rsidRPr="00BA0D46" w:rsidRDefault="009A53BA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BA0D46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BA0D46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BA0D46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BA0D46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BA0D46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BA0D46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  <w:bookmarkStart w:id="0" w:name="_GoBack"/>
      <w:bookmarkEnd w:id="0"/>
    </w:p>
    <w:p w:rsidR="00502006" w:rsidRPr="00BA0D46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  <w:r w:rsidRPr="00BA0D46">
        <w:rPr>
          <w:rFonts w:ascii="Arial Narrow" w:hAnsi="Arial Narrow" w:cs="Tahoma"/>
          <w:i/>
          <w:sz w:val="16"/>
          <w:szCs w:val="16"/>
          <w:lang w:val="sr-Latn-BA"/>
        </w:rPr>
        <w:t>Graph 1. Monthly and annual inflation</w:t>
      </w:r>
    </w:p>
    <w:p w:rsidR="00502006" w:rsidRPr="00BA0D46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BA0D46" w:rsidRDefault="00BC2444" w:rsidP="00502006">
      <w:pPr>
        <w:rPr>
          <w:sz w:val="16"/>
          <w:szCs w:val="16"/>
        </w:rPr>
      </w:pPr>
    </w:p>
    <w:p w:rsidR="00BC2444" w:rsidRPr="00BA0D46" w:rsidRDefault="00BC2444" w:rsidP="00502006">
      <w:pPr>
        <w:rPr>
          <w:sz w:val="16"/>
          <w:szCs w:val="16"/>
        </w:rPr>
      </w:pPr>
    </w:p>
    <w:p w:rsidR="00597FD3" w:rsidRPr="00BA0D46" w:rsidRDefault="00597FD3" w:rsidP="00502006">
      <w:pPr>
        <w:rPr>
          <w:sz w:val="16"/>
          <w:szCs w:val="16"/>
        </w:rPr>
      </w:pPr>
    </w:p>
    <w:p w:rsidR="00597FD3" w:rsidRPr="00BA0D46" w:rsidRDefault="00597FD3" w:rsidP="00502006">
      <w:pPr>
        <w:rPr>
          <w:sz w:val="16"/>
          <w:szCs w:val="16"/>
        </w:rPr>
      </w:pPr>
    </w:p>
    <w:p w:rsidR="00597FD3" w:rsidRPr="00BA0D46" w:rsidRDefault="00597FD3" w:rsidP="00502006">
      <w:pPr>
        <w:rPr>
          <w:sz w:val="16"/>
          <w:szCs w:val="16"/>
        </w:rPr>
      </w:pPr>
    </w:p>
    <w:p w:rsidR="00D3414D" w:rsidRPr="00BA0D46" w:rsidRDefault="00D3414D" w:rsidP="00502006">
      <w:pPr>
        <w:rPr>
          <w:sz w:val="16"/>
          <w:szCs w:val="16"/>
        </w:rPr>
      </w:pPr>
    </w:p>
    <w:p w:rsidR="00A529E3" w:rsidRPr="00BA0D46" w:rsidRDefault="00A529E3" w:rsidP="00502006">
      <w:pPr>
        <w:rPr>
          <w:sz w:val="16"/>
          <w:szCs w:val="16"/>
        </w:rPr>
      </w:pPr>
    </w:p>
    <w:p w:rsidR="00D3414D" w:rsidRPr="00BA0D46" w:rsidRDefault="00D3414D" w:rsidP="00502006">
      <w:pPr>
        <w:rPr>
          <w:sz w:val="16"/>
          <w:szCs w:val="16"/>
        </w:rPr>
      </w:pPr>
    </w:p>
    <w:p w:rsidR="00F95518" w:rsidRPr="00BA0D46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BA0D4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BA0D46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BA0D46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597FD3" w:rsidRPr="00BA0D4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17607" w:rsidRPr="00BA0D4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BA0D4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BA0D46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14771" w:rsidRPr="00BA0D46">
        <w:rPr>
          <w:rFonts w:ascii="Arial Narrow" w:hAnsi="Arial Narrow" w:cs="Tahoma"/>
          <w:b/>
          <w:sz w:val="28"/>
          <w:szCs w:val="30"/>
        </w:rPr>
        <w:t>24</w:t>
      </w:r>
      <w:r w:rsidRPr="00BA0D46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BA0D46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597FD3" w:rsidRPr="00BA0D46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17607" w:rsidRPr="00BA0D46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BA0D46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BA0D4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BA0D46">
        <w:rPr>
          <w:rFonts w:ascii="Arial Narrow" w:hAnsi="Arial Narrow" w:cs="Tahoma"/>
          <w:b/>
          <w:bCs/>
          <w:sz w:val="28"/>
          <w:szCs w:val="30"/>
        </w:rPr>
        <w:t>2</w:t>
      </w:r>
      <w:r w:rsidR="00A14771" w:rsidRPr="00BA0D46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BA0D46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BA0D4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14771" w:rsidRPr="00BA0D46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BA0D4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B17607" w:rsidRPr="00BA0D46">
        <w:rPr>
          <w:rFonts w:ascii="Arial Narrow" w:hAnsi="Arial Narrow" w:cs="Tahoma"/>
          <w:b/>
          <w:bCs/>
          <w:sz w:val="28"/>
          <w:szCs w:val="30"/>
          <w:lang w:val="sr-Cyrl-BA"/>
        </w:rPr>
        <w:t>7,3</w:t>
      </w:r>
      <w:r w:rsidRPr="00BA0D46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BA0D46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BA0D46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BA0D46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BA0D46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BA0D46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BA0D46">
        <w:rPr>
          <w:rFonts w:ascii="Arial Narrow" w:hAnsi="Arial Narrow" w:cs="Tahoma"/>
          <w:sz w:val="22"/>
          <w:lang w:val="sr-Cyrl-CS"/>
        </w:rPr>
        <w:t>јануар-</w:t>
      </w:r>
      <w:r w:rsidR="0046597A" w:rsidRPr="00BA0D46">
        <w:rPr>
          <w:rFonts w:ascii="Arial Narrow" w:hAnsi="Arial Narrow" w:cs="Tahoma"/>
          <w:sz w:val="22"/>
          <w:lang w:val="sr-Cyrl-CS"/>
        </w:rPr>
        <w:t>ј</w:t>
      </w:r>
      <w:r w:rsidR="00B17607" w:rsidRPr="00BA0D46">
        <w:rPr>
          <w:rFonts w:ascii="Arial Narrow" w:hAnsi="Arial Narrow" w:cs="Tahoma"/>
          <w:sz w:val="22"/>
          <w:lang w:val="sr-Cyrl-BA"/>
        </w:rPr>
        <w:t>ун</w:t>
      </w:r>
      <w:r w:rsidR="00A017EB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BA0D46">
        <w:rPr>
          <w:rFonts w:ascii="Arial Narrow" w:hAnsi="Arial Narrow" w:cs="Tahoma"/>
          <w:sz w:val="22"/>
          <w:lang w:val="sr-Cyrl-CS"/>
        </w:rPr>
        <w:t>202</w:t>
      </w:r>
      <w:r w:rsidR="00A14771" w:rsidRPr="00BA0D46">
        <w:rPr>
          <w:rFonts w:ascii="Arial Narrow" w:hAnsi="Arial Narrow" w:cs="Tahoma"/>
          <w:sz w:val="22"/>
          <w:lang w:val="sr-Cyrl-CS"/>
        </w:rPr>
        <w:t>4</w:t>
      </w:r>
      <w:r w:rsidR="00A017EB" w:rsidRPr="00BA0D46">
        <w:rPr>
          <w:rFonts w:ascii="Arial Narrow" w:hAnsi="Arial Narrow" w:cs="Tahoma"/>
          <w:sz w:val="22"/>
          <w:lang w:val="sr-Cyrl-CS"/>
        </w:rPr>
        <w:t>. године</w:t>
      </w:r>
      <w:r w:rsidR="00670BD5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BA0D46">
        <w:rPr>
          <w:rFonts w:ascii="Arial Narrow" w:hAnsi="Arial Narrow" w:cs="Tahoma"/>
          <w:sz w:val="22"/>
          <w:lang w:val="sr-Cyrl-CS"/>
        </w:rPr>
        <w:t xml:space="preserve">у </w:t>
      </w:r>
      <w:r w:rsidRPr="00BA0D46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BA0D46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BA0D4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BA0D46">
        <w:rPr>
          <w:rFonts w:ascii="Arial Narrow" w:hAnsi="Arial Narrow" w:cs="Tahoma"/>
          <w:sz w:val="22"/>
          <w:lang w:val="sr-Cyrl-CS"/>
        </w:rPr>
        <w:t>2023</w:t>
      </w:r>
      <w:r w:rsidRPr="00BA0D46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BA0D46">
        <w:rPr>
          <w:rFonts w:ascii="Arial Narrow" w:hAnsi="Arial Narrow" w:cs="Tahoma"/>
          <w:sz w:val="22"/>
          <w:lang w:val="sr-Cyrl-CS"/>
        </w:rPr>
        <w:t>мања</w:t>
      </w:r>
      <w:r w:rsidRPr="00BA0D46">
        <w:rPr>
          <w:rFonts w:ascii="Arial Narrow" w:hAnsi="Arial Narrow" w:cs="Tahoma"/>
          <w:sz w:val="22"/>
          <w:lang w:val="sr-Cyrl-CS"/>
        </w:rPr>
        <w:t xml:space="preserve"> </w:t>
      </w:r>
      <w:r w:rsidRPr="00BA0D46">
        <w:rPr>
          <w:rFonts w:ascii="Arial Narrow" w:hAnsi="Arial Narrow" w:cs="Tahoma"/>
          <w:sz w:val="22"/>
          <w:lang w:val="sr-Latn-BA"/>
        </w:rPr>
        <w:t xml:space="preserve">je </w:t>
      </w:r>
      <w:r w:rsidRPr="00BA0D46">
        <w:rPr>
          <w:rFonts w:ascii="Arial Narrow" w:hAnsi="Arial Narrow" w:cs="Tahoma"/>
          <w:sz w:val="22"/>
          <w:lang w:val="sr-Cyrl-CS"/>
        </w:rPr>
        <w:t xml:space="preserve">за </w:t>
      </w:r>
      <w:r w:rsidR="0046597A" w:rsidRPr="00BA0D46">
        <w:rPr>
          <w:rFonts w:ascii="Arial Narrow" w:hAnsi="Arial Narrow" w:cs="Tahoma"/>
          <w:sz w:val="22"/>
          <w:lang w:val="sr-Cyrl-CS"/>
        </w:rPr>
        <w:t>7</w:t>
      </w:r>
      <w:r w:rsidR="00B17607" w:rsidRPr="00BA0D46">
        <w:rPr>
          <w:rFonts w:ascii="Arial Narrow" w:hAnsi="Arial Narrow" w:cs="Tahoma"/>
          <w:sz w:val="22"/>
          <w:lang w:val="sr-Cyrl-CS"/>
        </w:rPr>
        <w:t>,3</w:t>
      </w:r>
      <w:r w:rsidRPr="00BA0D46">
        <w:rPr>
          <w:rFonts w:ascii="Arial Narrow" w:hAnsi="Arial Narrow" w:cs="Tahoma"/>
          <w:sz w:val="22"/>
          <w:lang w:val="sr-Cyrl-CS"/>
        </w:rPr>
        <w:t>%</w:t>
      </w:r>
      <w:r w:rsidRPr="00BA0D46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BA0D46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BA0D46">
        <w:rPr>
          <w:rFonts w:ascii="Arial Narrow" w:hAnsi="Arial Narrow" w:cs="Tahoma"/>
          <w:sz w:val="22"/>
        </w:rPr>
        <w:t>,</w:t>
      </w:r>
      <w:r w:rsidR="00DD4041" w:rsidRPr="00BA0D46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BA0D46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BA0D46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BA0D46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B17607" w:rsidRPr="00BA0D46">
        <w:rPr>
          <w:rFonts w:ascii="Arial Narrow" w:hAnsi="Arial Narrow" w:cs="Tahoma"/>
          <w:sz w:val="22"/>
          <w:lang w:val="sr-Cyrl-BA"/>
        </w:rPr>
        <w:t>5,0</w:t>
      </w:r>
      <w:r w:rsidR="0046597A" w:rsidRPr="00BA0D46">
        <w:rPr>
          <w:rFonts w:ascii="Arial Narrow" w:hAnsi="Arial Narrow" w:cs="Tahoma"/>
          <w:sz w:val="22"/>
          <w:lang w:val="sr-Cyrl-BA"/>
        </w:rPr>
        <w:t>%</w:t>
      </w:r>
      <w:r w:rsidR="00347E9F" w:rsidRPr="00BA0D46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BA0D46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B17607" w:rsidRPr="00BA0D46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="00B17607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206778" w:rsidRPr="00BA0D46">
        <w:rPr>
          <w:rFonts w:ascii="Arial Narrow" w:hAnsi="Arial Narrow" w:cs="Tahoma"/>
          <w:sz w:val="22"/>
          <w:lang w:val="sr-Cyrl-BA"/>
        </w:rPr>
        <w:t xml:space="preserve">пад од </w:t>
      </w:r>
      <w:r w:rsidR="00B17607" w:rsidRPr="00BA0D46">
        <w:rPr>
          <w:rFonts w:ascii="Arial Narrow" w:hAnsi="Arial Narrow" w:cs="Tahoma"/>
          <w:sz w:val="22"/>
          <w:lang w:val="sr-Cyrl-BA"/>
        </w:rPr>
        <w:t xml:space="preserve">8,0% и у подручју </w:t>
      </w:r>
      <w:r w:rsidR="00B17607" w:rsidRPr="00BA0D46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B17607" w:rsidRPr="00BA0D46">
        <w:rPr>
          <w:rFonts w:ascii="Arial Narrow" w:hAnsi="Arial Narrow" w:cs="Tahoma"/>
          <w:sz w:val="22"/>
          <w:lang w:val="sr-Cyrl-BA"/>
        </w:rPr>
        <w:t xml:space="preserve"> пад од 11,2%</w:t>
      </w:r>
      <w:r w:rsidR="00206778" w:rsidRPr="00BA0D46">
        <w:rPr>
          <w:rFonts w:ascii="Arial Narrow" w:hAnsi="Arial Narrow" w:cs="Tahoma"/>
          <w:sz w:val="22"/>
          <w:lang w:val="sr-Cyrl-BA"/>
        </w:rPr>
        <w:t>.</w:t>
      </w:r>
      <w:r w:rsidR="00A14771" w:rsidRPr="00BA0D46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BA0D46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Pr="00BA0D46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BA0D46">
        <w:rPr>
          <w:rFonts w:ascii="Arial Narrow" w:hAnsi="Arial Narrow" w:cs="Tahoma"/>
          <w:sz w:val="22"/>
          <w:lang w:val="sr-Cyrl-BA"/>
        </w:rPr>
        <w:t>Д</w:t>
      </w:r>
      <w:r w:rsidRPr="00BA0D46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BA0D46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B17607" w:rsidRPr="00BA0D46">
        <w:rPr>
          <w:rFonts w:ascii="Arial Narrow" w:hAnsi="Arial Narrow" w:cs="Tahoma"/>
          <w:spacing w:val="-2"/>
          <w:sz w:val="22"/>
          <w:lang w:val="sr-Cyrl-BA"/>
        </w:rPr>
        <w:t>јуну</w:t>
      </w:r>
      <w:r w:rsidRPr="00BA0D4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BA0D46">
        <w:rPr>
          <w:rFonts w:ascii="Arial Narrow" w:hAnsi="Arial Narrow" w:cs="Tahoma"/>
          <w:sz w:val="22"/>
          <w:lang w:val="sr-Cyrl-BA"/>
        </w:rPr>
        <w:t>2024</w:t>
      </w:r>
      <w:r w:rsidRPr="00BA0D46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B17607" w:rsidRPr="00BA0D46">
        <w:rPr>
          <w:rFonts w:ascii="Arial Narrow" w:hAnsi="Arial Narrow" w:cs="Tahoma"/>
          <w:spacing w:val="-2"/>
          <w:sz w:val="22"/>
          <w:lang w:val="sr-Cyrl-BA"/>
        </w:rPr>
        <w:t>мајем</w:t>
      </w:r>
      <w:r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A14771" w:rsidRPr="00BA0D46">
        <w:rPr>
          <w:rFonts w:ascii="Arial Narrow" w:hAnsi="Arial Narrow" w:cs="Tahoma"/>
          <w:sz w:val="22"/>
          <w:lang w:val="ru-RU"/>
        </w:rPr>
        <w:t>2024</w:t>
      </w:r>
      <w:r w:rsidRPr="00BA0D46">
        <w:rPr>
          <w:rFonts w:ascii="Arial Narrow" w:hAnsi="Arial Narrow" w:cs="Tahoma"/>
          <w:sz w:val="22"/>
          <w:lang w:val="ru-RU"/>
        </w:rPr>
        <w:t>.</w:t>
      </w:r>
      <w:r w:rsidRPr="00BA0D46">
        <w:rPr>
          <w:rFonts w:ascii="Arial Narrow" w:hAnsi="Arial Narrow" w:cs="Tahoma"/>
          <w:sz w:val="22"/>
          <w:lang w:val="sr-Cyrl-BA"/>
        </w:rPr>
        <w:t xml:space="preserve"> године </w:t>
      </w:r>
      <w:r w:rsidR="00B17607" w:rsidRPr="00BA0D46">
        <w:rPr>
          <w:rFonts w:ascii="Arial Narrow" w:hAnsi="Arial Narrow" w:cs="Tahoma"/>
          <w:sz w:val="22"/>
          <w:lang w:val="sr-Cyrl-BA"/>
        </w:rPr>
        <w:t xml:space="preserve">остала </w:t>
      </w:r>
      <w:r w:rsidRPr="00BA0D46">
        <w:rPr>
          <w:rFonts w:ascii="Arial Narrow" w:hAnsi="Arial Narrow" w:cs="Tahoma"/>
          <w:sz w:val="22"/>
          <w:lang w:val="sr-Cyrl-CS"/>
        </w:rPr>
        <w:t xml:space="preserve">је </w:t>
      </w:r>
      <w:r w:rsidR="00B17607" w:rsidRPr="00BA0D46">
        <w:rPr>
          <w:rFonts w:ascii="Arial Narrow" w:hAnsi="Arial Narrow" w:cs="Tahoma"/>
          <w:sz w:val="22"/>
          <w:lang w:val="sr-Cyrl-CS"/>
        </w:rPr>
        <w:t>непромијењена</w:t>
      </w:r>
      <w:r w:rsidRPr="00BA0D46">
        <w:rPr>
          <w:rFonts w:ascii="Arial Narrow" w:hAnsi="Arial Narrow" w:cs="Tahoma"/>
          <w:sz w:val="22"/>
          <w:lang w:val="sr-Cyrl-CS"/>
        </w:rPr>
        <w:t xml:space="preserve">. </w:t>
      </w:r>
    </w:p>
    <w:p w:rsidR="00B97BCB" w:rsidRPr="00BA0D46" w:rsidRDefault="00B97BCB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BA0D46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B17607" w:rsidRPr="00BA0D46">
        <w:rPr>
          <w:rFonts w:ascii="Arial Narrow" w:hAnsi="Arial Narrow" w:cs="Tahoma"/>
          <w:sz w:val="22"/>
          <w:lang w:val="sr-Cyrl-BA"/>
        </w:rPr>
        <w:t>јуну</w:t>
      </w:r>
      <w:r w:rsidR="00A14771" w:rsidRPr="00BA0D46">
        <w:rPr>
          <w:rFonts w:ascii="Arial Narrow" w:hAnsi="Arial Narrow" w:cs="Tahoma"/>
          <w:sz w:val="22"/>
          <w:lang w:val="sr-Cyrl-BA"/>
        </w:rPr>
        <w:t xml:space="preserve"> 2024</w:t>
      </w:r>
      <w:r w:rsidRPr="00BA0D46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B17607" w:rsidRPr="00BA0D46">
        <w:rPr>
          <w:rFonts w:ascii="Arial Narrow" w:hAnsi="Arial Narrow" w:cs="Tahoma"/>
          <w:sz w:val="22"/>
          <w:lang w:val="sr-Cyrl-BA"/>
        </w:rPr>
        <w:t>јуном</w:t>
      </w:r>
      <w:r w:rsidR="00206778" w:rsidRPr="00BA0D46">
        <w:rPr>
          <w:rFonts w:ascii="Arial Narrow" w:hAnsi="Arial Narrow" w:cs="Tahoma"/>
          <w:sz w:val="22"/>
          <w:lang w:val="sr-Cyrl-BA"/>
        </w:rPr>
        <w:t xml:space="preserve"> 202</w:t>
      </w:r>
      <w:r w:rsidR="00A14771" w:rsidRPr="00BA0D46">
        <w:rPr>
          <w:rFonts w:ascii="Arial Narrow" w:hAnsi="Arial Narrow" w:cs="Tahoma"/>
          <w:sz w:val="22"/>
          <w:lang w:val="sr-Cyrl-BA"/>
        </w:rPr>
        <w:t>3</w:t>
      </w:r>
      <w:r w:rsidRPr="00BA0D46">
        <w:rPr>
          <w:rFonts w:ascii="Arial Narrow" w:hAnsi="Arial Narrow" w:cs="Tahoma"/>
          <w:sz w:val="22"/>
          <w:lang w:val="sr-Cyrl-BA"/>
        </w:rPr>
        <w:t xml:space="preserve">. године, </w:t>
      </w:r>
      <w:r w:rsidR="0054010F" w:rsidRPr="00BA0D46">
        <w:rPr>
          <w:rFonts w:ascii="Arial Narrow" w:hAnsi="Arial Narrow" w:cs="Tahoma"/>
          <w:sz w:val="22"/>
          <w:lang w:val="sr-Cyrl-BA"/>
        </w:rPr>
        <w:t>мања</w:t>
      </w:r>
      <w:r w:rsidRPr="00BA0D46">
        <w:rPr>
          <w:rFonts w:ascii="Arial Narrow" w:hAnsi="Arial Narrow" w:cs="Tahoma"/>
          <w:sz w:val="22"/>
          <w:lang w:val="sr-Cyrl-BA"/>
        </w:rPr>
        <w:t xml:space="preserve"> је за </w:t>
      </w:r>
      <w:r w:rsidR="00B17607" w:rsidRPr="00BA0D46">
        <w:rPr>
          <w:rFonts w:ascii="Arial Narrow" w:hAnsi="Arial Narrow" w:cs="Tahoma"/>
          <w:sz w:val="22"/>
          <w:lang w:val="sr-Cyrl-BA"/>
        </w:rPr>
        <w:t>8,3</w:t>
      </w:r>
      <w:r w:rsidRPr="00BA0D46">
        <w:rPr>
          <w:rFonts w:ascii="Arial Narrow" w:hAnsi="Arial Narrow" w:cs="Tahoma"/>
          <w:sz w:val="22"/>
          <w:lang w:val="sr-Cyrl-BA"/>
        </w:rPr>
        <w:t>%.</w:t>
      </w:r>
    </w:p>
    <w:p w:rsidR="008967F4" w:rsidRPr="00BA0D46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BA0D46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2320671</wp:posOffset>
                </wp:positionH>
                <wp:positionV relativeFrom="paragraph">
                  <wp:posOffset>2421890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2.75pt;margin-top:190.7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Pr="00BA0D46">
        <w:rPr>
          <w:noProof/>
        </w:rPr>
        <w:drawing>
          <wp:inline distT="0" distB="0" distL="0" distR="0" wp14:anchorId="7E21404B" wp14:editId="5CAC79A0">
            <wp:extent cx="6477000" cy="2619376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BA0D46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BA0D46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BA0D46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BA0D46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B17607" w:rsidRPr="00BA0D46">
        <w:rPr>
          <w:rFonts w:ascii="Arial Narrow" w:hAnsi="Arial Narrow" w:cs="Tahoma"/>
          <w:sz w:val="16"/>
          <w:szCs w:val="16"/>
          <w:lang w:val="sr-Cyrl-BA"/>
        </w:rPr>
        <w:t>јун</w:t>
      </w:r>
      <w:r w:rsidR="00C411FF" w:rsidRPr="00BA0D46">
        <w:rPr>
          <w:rFonts w:ascii="Arial Narrow" w:hAnsi="Arial Narrow" w:cs="Tahoma"/>
          <w:sz w:val="16"/>
          <w:szCs w:val="16"/>
        </w:rPr>
        <w:t xml:space="preserve"> 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BA0D46">
        <w:rPr>
          <w:rFonts w:ascii="Arial Narrow" w:hAnsi="Arial Narrow" w:cs="Tahoma"/>
          <w:sz w:val="16"/>
          <w:szCs w:val="16"/>
        </w:rPr>
        <w:t>20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B17607" w:rsidRPr="00BA0D46">
        <w:rPr>
          <w:rFonts w:ascii="Arial Narrow" w:hAnsi="Arial Narrow" w:cs="Tahoma"/>
          <w:sz w:val="16"/>
          <w:szCs w:val="16"/>
          <w:lang w:val="sr-Cyrl-BA"/>
        </w:rPr>
        <w:t>јун</w:t>
      </w:r>
      <w:r w:rsidR="00C411FF" w:rsidRPr="00BA0D46">
        <w:rPr>
          <w:rFonts w:ascii="Arial Narrow" w:hAnsi="Arial Narrow" w:cs="Tahoma"/>
          <w:sz w:val="16"/>
          <w:szCs w:val="16"/>
        </w:rPr>
        <w:t xml:space="preserve"> 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BA0D46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BA0D46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BA0D46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BA0D46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BA0D4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BA0D4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BA0D46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9199C" w:rsidRPr="00BA0D46">
        <w:rPr>
          <w:rFonts w:ascii="Arial Narrow" w:hAnsi="Arial Narrow" w:cs="Tahoma"/>
          <w:b/>
          <w:sz w:val="28"/>
          <w:lang w:val="sr-Latn-BA"/>
        </w:rPr>
        <w:t>V</w:t>
      </w:r>
      <w:r w:rsidR="00B17607" w:rsidRPr="00BA0D46">
        <w:rPr>
          <w:rFonts w:ascii="Arial Narrow" w:hAnsi="Arial Narrow" w:cs="Tahoma"/>
          <w:b/>
          <w:sz w:val="28"/>
          <w:lang w:val="sr-Latn-BA"/>
        </w:rPr>
        <w:t>I</w:t>
      </w:r>
      <w:r w:rsidRPr="00BA0D46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BA0D4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BA0D46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BA0D46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9199C" w:rsidRPr="00BA0D46">
        <w:rPr>
          <w:rFonts w:ascii="Arial Narrow" w:hAnsi="Arial Narrow" w:cs="Tahoma"/>
          <w:b/>
          <w:sz w:val="28"/>
          <w:lang w:val="sr-Latn-BA"/>
        </w:rPr>
        <w:t>V</w:t>
      </w:r>
      <w:r w:rsidR="00B17607" w:rsidRPr="00BA0D46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BA0D46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BA0D4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BA0D46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A86A82" w:rsidRPr="00BA0D46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BA0D46">
        <w:rPr>
          <w:rFonts w:ascii="Arial Narrow" w:hAnsi="Arial Narrow" w:cs="Tahoma"/>
          <w:b/>
          <w:sz w:val="28"/>
          <w:lang w:val="ru-RU"/>
        </w:rPr>
        <w:t>)</w:t>
      </w:r>
      <w:r w:rsidRPr="00BA0D46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BA0D46">
        <w:rPr>
          <w:rFonts w:ascii="Arial Narrow" w:hAnsi="Arial Narrow" w:cs="Tahoma"/>
          <w:b/>
          <w:sz w:val="28"/>
          <w:lang w:val="sr-Cyrl-BA"/>
        </w:rPr>
        <w:t>мањи</w:t>
      </w:r>
      <w:r w:rsidRPr="00BA0D46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904ECB" w:rsidRPr="00BA0D46">
        <w:rPr>
          <w:rFonts w:ascii="Arial Narrow" w:hAnsi="Arial Narrow" w:cs="Tahoma"/>
          <w:b/>
          <w:sz w:val="28"/>
          <w:lang w:val="sr-Cyrl-BA"/>
        </w:rPr>
        <w:t>5,3</w:t>
      </w:r>
      <w:r w:rsidRPr="00BA0D46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BA0D46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BA0D46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BA0D46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BA0D46">
        <w:rPr>
          <w:rFonts w:ascii="Arial Narrow" w:hAnsi="Arial Narrow" w:cs="Tahoma"/>
          <w:sz w:val="22"/>
          <w:lang w:val="sr-Cyrl-CS"/>
        </w:rPr>
        <w:t xml:space="preserve">у </w:t>
      </w:r>
      <w:r w:rsidR="00B17607" w:rsidRPr="00BA0D46">
        <w:rPr>
          <w:rFonts w:ascii="Arial Narrow" w:hAnsi="Arial Narrow" w:cs="Tahoma"/>
          <w:sz w:val="22"/>
          <w:lang w:val="sr-Cyrl-BA"/>
        </w:rPr>
        <w:t>јуну</w:t>
      </w:r>
      <w:r w:rsidR="00834C43" w:rsidRPr="00BA0D46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BA0D46">
        <w:rPr>
          <w:rFonts w:ascii="Arial Narrow" w:hAnsi="Arial Narrow" w:cs="Tahoma"/>
          <w:sz w:val="22"/>
          <w:lang w:val="ru-RU"/>
        </w:rPr>
        <w:t>. године</w:t>
      </w:r>
      <w:r w:rsidRPr="00BA0D46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B17607" w:rsidRPr="00BA0D46">
        <w:rPr>
          <w:rFonts w:ascii="Arial Narrow" w:hAnsi="Arial Narrow" w:cs="Tahoma"/>
          <w:sz w:val="22"/>
          <w:lang w:val="sr-Cyrl-BA"/>
        </w:rPr>
        <w:t>јун</w:t>
      </w:r>
      <w:r w:rsidR="00A86A82" w:rsidRPr="00BA0D46">
        <w:rPr>
          <w:rFonts w:ascii="Arial Narrow" w:hAnsi="Arial Narrow" w:cs="Tahoma"/>
          <w:sz w:val="22"/>
          <w:lang w:val="sr-Cyrl-BA"/>
        </w:rPr>
        <w:t xml:space="preserve"> предходне </w:t>
      </w:r>
      <w:r w:rsidRPr="00BA0D46">
        <w:rPr>
          <w:rFonts w:ascii="Arial Narrow" w:hAnsi="Arial Narrow" w:cs="Tahoma"/>
          <w:sz w:val="22"/>
          <w:lang w:val="sr-Cyrl-CS"/>
        </w:rPr>
        <w:t xml:space="preserve">године </w:t>
      </w:r>
      <w:r w:rsidR="00F76500" w:rsidRPr="00BA0D46">
        <w:rPr>
          <w:rFonts w:ascii="Arial Narrow" w:hAnsi="Arial Narrow" w:cs="Tahoma"/>
          <w:sz w:val="22"/>
          <w:lang w:val="sr-Cyrl-CS"/>
        </w:rPr>
        <w:t>мањи</w:t>
      </w:r>
      <w:r w:rsidRPr="00BA0D46">
        <w:rPr>
          <w:rFonts w:ascii="Arial Narrow" w:hAnsi="Arial Narrow" w:cs="Tahoma"/>
          <w:sz w:val="22"/>
          <w:lang w:val="sr-Cyrl-CS"/>
        </w:rPr>
        <w:t xml:space="preserve"> је за </w:t>
      </w:r>
      <w:r w:rsidR="00B17607" w:rsidRPr="00BA0D46">
        <w:rPr>
          <w:rFonts w:ascii="Arial Narrow" w:hAnsi="Arial Narrow" w:cs="Tahoma"/>
          <w:sz w:val="22"/>
          <w:lang w:val="sr-Cyrl-CS"/>
        </w:rPr>
        <w:t>5,3</w:t>
      </w:r>
      <w:r w:rsidRPr="00BA0D46">
        <w:rPr>
          <w:rFonts w:ascii="Arial Narrow" w:hAnsi="Arial Narrow" w:cs="Tahoma"/>
          <w:sz w:val="22"/>
          <w:lang w:val="sr-Cyrl-CS"/>
        </w:rPr>
        <w:t>%.</w:t>
      </w:r>
      <w:r w:rsidRPr="00BA0D46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BA0D46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BA0D46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BA0D46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BA0D46">
        <w:rPr>
          <w:rFonts w:ascii="Arial Narrow" w:hAnsi="Arial Narrow" w:cs="Tahoma"/>
          <w:sz w:val="22"/>
          <w:lang w:val="ru-RU"/>
        </w:rPr>
        <w:t>у</w:t>
      </w:r>
      <w:r w:rsidR="00F30A8F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904ECB" w:rsidRPr="00BA0D46">
        <w:rPr>
          <w:rFonts w:ascii="Arial Narrow" w:hAnsi="Arial Narrow" w:cs="Tahoma"/>
          <w:sz w:val="22"/>
          <w:lang w:val="sr-Cyrl-BA"/>
        </w:rPr>
        <w:t>јуну</w:t>
      </w:r>
      <w:r w:rsidR="00467F6C" w:rsidRPr="00BA0D4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BA0D46">
        <w:rPr>
          <w:rFonts w:ascii="Arial Narrow" w:hAnsi="Arial Narrow" w:cs="Tahoma"/>
          <w:sz w:val="22"/>
          <w:lang w:val="ru-RU"/>
        </w:rPr>
        <w:t>20</w:t>
      </w:r>
      <w:r w:rsidR="00230603" w:rsidRPr="00BA0D46">
        <w:rPr>
          <w:rFonts w:ascii="Arial Narrow" w:hAnsi="Arial Narrow" w:cs="Tahoma"/>
          <w:sz w:val="22"/>
          <w:lang w:val="ru-RU"/>
        </w:rPr>
        <w:t>2</w:t>
      </w:r>
      <w:r w:rsidR="00834C43" w:rsidRPr="00BA0D46">
        <w:rPr>
          <w:rFonts w:ascii="Arial Narrow" w:hAnsi="Arial Narrow" w:cs="Tahoma"/>
          <w:sz w:val="22"/>
          <w:lang w:val="ru-RU"/>
        </w:rPr>
        <w:t>4</w:t>
      </w:r>
      <w:r w:rsidRPr="00BA0D46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BA0D46">
        <w:rPr>
          <w:rFonts w:ascii="Arial Narrow" w:hAnsi="Arial Narrow" w:cs="Tahoma"/>
          <w:sz w:val="22"/>
          <w:lang w:val="sr-Cyrl-RS"/>
        </w:rPr>
        <w:t>г</w:t>
      </w:r>
      <w:r w:rsidRPr="00BA0D46">
        <w:rPr>
          <w:rFonts w:ascii="Arial Narrow" w:hAnsi="Arial Narrow" w:cs="Tahoma"/>
          <w:sz w:val="22"/>
          <w:lang w:val="ru-RU"/>
        </w:rPr>
        <w:t>одине</w:t>
      </w:r>
      <w:r w:rsidR="00DE7674" w:rsidRPr="00BA0D46">
        <w:rPr>
          <w:rFonts w:ascii="Arial Narrow" w:hAnsi="Arial Narrow" w:cs="Tahoma"/>
          <w:sz w:val="22"/>
          <w:lang w:val="ru-RU"/>
        </w:rPr>
        <w:t xml:space="preserve"> у</w:t>
      </w:r>
      <w:r w:rsidRPr="00BA0D46">
        <w:rPr>
          <w:rFonts w:ascii="Arial Narrow" w:hAnsi="Arial Narrow" w:cs="Tahoma"/>
          <w:sz w:val="22"/>
          <w:lang w:val="ru-RU"/>
        </w:rPr>
        <w:t xml:space="preserve"> </w:t>
      </w:r>
      <w:r w:rsidR="00FD3D89" w:rsidRPr="00BA0D46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BA0D46">
        <w:rPr>
          <w:rFonts w:ascii="Arial Narrow" w:hAnsi="Arial Narrow" w:cs="Tahoma"/>
          <w:sz w:val="22"/>
          <w:lang w:val="sr-Cyrl-CS"/>
        </w:rPr>
        <w:t>202</w:t>
      </w:r>
      <w:r w:rsidR="00834C43" w:rsidRPr="00BA0D46">
        <w:rPr>
          <w:rFonts w:ascii="Arial Narrow" w:hAnsi="Arial Narrow" w:cs="Tahoma"/>
          <w:sz w:val="22"/>
          <w:lang w:val="sr-Cyrl-CS"/>
        </w:rPr>
        <w:t>3</w:t>
      </w:r>
      <w:r w:rsidR="00FD3D89" w:rsidRPr="00BA0D46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BA0D46">
        <w:rPr>
          <w:rFonts w:ascii="Arial Narrow" w:hAnsi="Arial Narrow" w:cs="Tahoma"/>
          <w:sz w:val="22"/>
          <w:lang w:val="sr-Cyrl-CS"/>
        </w:rPr>
        <w:t>мањи</w:t>
      </w:r>
      <w:r w:rsidR="00FD3D89" w:rsidRPr="00BA0D46">
        <w:rPr>
          <w:rFonts w:ascii="Arial Narrow" w:hAnsi="Arial Narrow" w:cs="Tahoma"/>
          <w:sz w:val="22"/>
          <w:lang w:val="sr-Cyrl-CS"/>
        </w:rPr>
        <w:t xml:space="preserve"> је за </w:t>
      </w:r>
      <w:r w:rsidR="00904ECB" w:rsidRPr="00BA0D46">
        <w:rPr>
          <w:rFonts w:ascii="Arial Narrow" w:hAnsi="Arial Narrow" w:cs="Tahoma"/>
          <w:sz w:val="22"/>
          <w:lang w:val="sr-Cyrl-CS"/>
        </w:rPr>
        <w:t>4,6</w:t>
      </w:r>
      <w:r w:rsidR="00A86A82" w:rsidRPr="00BA0D46">
        <w:rPr>
          <w:rFonts w:ascii="Arial Narrow" w:hAnsi="Arial Narrow" w:cs="Tahoma"/>
          <w:sz w:val="22"/>
          <w:lang w:val="sr-Cyrl-CS"/>
        </w:rPr>
        <w:t>% и</w:t>
      </w:r>
      <w:r w:rsidR="00F76500"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BA0D46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904ECB" w:rsidRPr="00BA0D46">
        <w:rPr>
          <w:rFonts w:ascii="Arial Narrow" w:hAnsi="Arial Narrow" w:cs="Tahoma"/>
          <w:sz w:val="22"/>
          <w:lang w:val="sr-Cyrl-BA"/>
        </w:rPr>
        <w:t>мај</w:t>
      </w:r>
      <w:r w:rsidR="00C678AE" w:rsidRPr="00BA0D46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BA0D46">
        <w:rPr>
          <w:rFonts w:ascii="Arial Narrow" w:hAnsi="Arial Narrow" w:cs="Tahoma"/>
          <w:sz w:val="22"/>
          <w:lang w:val="sr-Cyrl-BA"/>
        </w:rPr>
        <w:t>2024</w:t>
      </w:r>
      <w:r w:rsidR="001554C5" w:rsidRPr="00BA0D46">
        <w:rPr>
          <w:rFonts w:ascii="Arial Narrow" w:hAnsi="Arial Narrow" w:cs="Tahoma"/>
          <w:sz w:val="22"/>
          <w:lang w:val="sr-Cyrl-BA"/>
        </w:rPr>
        <w:t xml:space="preserve">. године </w:t>
      </w:r>
      <w:r w:rsidR="00A86A82" w:rsidRPr="00BA0D46">
        <w:rPr>
          <w:rFonts w:ascii="Arial Narrow" w:hAnsi="Arial Narrow" w:cs="Tahoma"/>
          <w:sz w:val="22"/>
          <w:lang w:val="sr-Cyrl-BA"/>
        </w:rPr>
        <w:t>мањи је</w:t>
      </w:r>
      <w:r w:rsidR="00834C43" w:rsidRPr="00BA0D46">
        <w:rPr>
          <w:rFonts w:ascii="Arial Narrow" w:hAnsi="Arial Narrow" w:cs="Tahoma"/>
          <w:sz w:val="22"/>
          <w:lang w:val="sr-Cyrl-BA"/>
        </w:rPr>
        <w:t xml:space="preserve"> за 0,</w:t>
      </w:r>
      <w:r w:rsidR="000A7F43" w:rsidRPr="00BA0D46">
        <w:rPr>
          <w:rFonts w:ascii="Arial Narrow" w:hAnsi="Arial Narrow" w:cs="Tahoma"/>
          <w:sz w:val="22"/>
          <w:lang w:val="sr-Cyrl-BA"/>
        </w:rPr>
        <w:t>4</w:t>
      </w:r>
      <w:r w:rsidR="00BF7818" w:rsidRPr="00BA0D46">
        <w:rPr>
          <w:rFonts w:ascii="Arial Narrow" w:hAnsi="Arial Narrow" w:cs="Tahoma"/>
          <w:sz w:val="22"/>
          <w:lang w:val="sr-Cyrl-CS"/>
        </w:rPr>
        <w:t>%</w:t>
      </w:r>
      <w:r w:rsidR="00FD3D89" w:rsidRPr="00BA0D46">
        <w:rPr>
          <w:rFonts w:ascii="Arial Narrow" w:hAnsi="Arial Narrow" w:cs="Tahoma"/>
          <w:sz w:val="22"/>
          <w:lang w:val="sr-Cyrl-BA"/>
        </w:rPr>
        <w:t>.</w:t>
      </w:r>
      <w:r w:rsidR="00CF5454" w:rsidRPr="00BA0D46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BA0D46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A0710" w:rsidRPr="00BA0D46" w:rsidRDefault="00FA0710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BA0D46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D5F3E" w:rsidRPr="00BA0D46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BA0D46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BA0D46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BA0D46">
        <w:rPr>
          <w:rFonts w:ascii="Arial Narrow" w:hAnsi="Arial Narrow" w:cs="Tahoma"/>
          <w:b/>
          <w:sz w:val="30"/>
          <w:szCs w:val="30"/>
        </w:rPr>
        <w:t>I-</w:t>
      </w:r>
      <w:r w:rsidRPr="00BA0D46">
        <w:rPr>
          <w:rFonts w:ascii="Arial Narrow" w:hAnsi="Arial Narrow" w:cs="Tahoma"/>
          <w:b/>
          <w:sz w:val="30"/>
          <w:szCs w:val="30"/>
        </w:rPr>
        <w:t>V</w:t>
      </w:r>
      <w:r w:rsidR="0013349D" w:rsidRPr="00BA0D46">
        <w:rPr>
          <w:rFonts w:ascii="Arial Narrow" w:hAnsi="Arial Narrow" w:cs="Tahoma"/>
          <w:b/>
          <w:sz w:val="30"/>
          <w:szCs w:val="30"/>
        </w:rPr>
        <w:t>I</w:t>
      </w:r>
      <w:r w:rsidRPr="00BA0D46">
        <w:rPr>
          <w:rFonts w:ascii="Arial Narrow" w:hAnsi="Arial Narrow" w:cs="Tahoma"/>
          <w:b/>
          <w:sz w:val="30"/>
          <w:szCs w:val="30"/>
          <w:lang w:val="bs-Cyrl-BA"/>
        </w:rPr>
        <w:t xml:space="preserve"> 2024. највише се извозило у Хрватску, а увозило из Србије</w:t>
      </w:r>
    </w:p>
    <w:p w:rsidR="00BD5F3E" w:rsidRPr="00BA0D46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BA0D46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rFonts w:ascii="Arial Narrow" w:hAnsi="Arial Narrow" w:cs="Tahoma"/>
          <w:sz w:val="22"/>
          <w:lang w:val="sr-Latn-BA"/>
        </w:rPr>
        <w:t>У</w:t>
      </w:r>
      <w:r w:rsidRPr="00BA0D46">
        <w:rPr>
          <w:rFonts w:ascii="Arial Narrow" w:hAnsi="Arial Narrow" w:cs="Tahoma"/>
          <w:sz w:val="22"/>
          <w:lang w:val="sr-Cyrl-BA"/>
        </w:rPr>
        <w:t xml:space="preserve"> периоду</w:t>
      </w:r>
      <w:r w:rsidRPr="00BA0D46">
        <w:rPr>
          <w:rFonts w:ascii="Arial Narrow" w:hAnsi="Arial Narrow" w:cs="Tahoma"/>
          <w:sz w:val="22"/>
          <w:lang w:val="sr-Latn-BA"/>
        </w:rPr>
        <w:t xml:space="preserve"> </w:t>
      </w:r>
      <w:r w:rsidRPr="00BA0D46">
        <w:rPr>
          <w:rFonts w:ascii="Arial Narrow" w:hAnsi="Arial Narrow" w:cs="Tahoma"/>
          <w:sz w:val="22"/>
          <w:lang w:val="sr-Cyrl-RS"/>
        </w:rPr>
        <w:t xml:space="preserve">јануар - </w:t>
      </w:r>
      <w:r w:rsidR="0013349D" w:rsidRPr="00BA0D46">
        <w:rPr>
          <w:rFonts w:ascii="Arial Narrow" w:hAnsi="Arial Narrow" w:cs="Tahoma"/>
          <w:sz w:val="22"/>
          <w:lang w:val="sr-Cyrl-RS"/>
        </w:rPr>
        <w:t>јун</w:t>
      </w:r>
      <w:r w:rsidRPr="00BA0D46">
        <w:rPr>
          <w:rFonts w:ascii="Arial Narrow" w:hAnsi="Arial Narrow" w:cs="Tahoma"/>
          <w:sz w:val="22"/>
          <w:lang w:val="sr-Cyrl-RS"/>
        </w:rPr>
        <w:t xml:space="preserve"> </w:t>
      </w:r>
      <w:r w:rsidRPr="00BA0D46">
        <w:rPr>
          <w:rFonts w:ascii="Arial Narrow" w:hAnsi="Arial Narrow" w:cs="Tahoma"/>
          <w:sz w:val="22"/>
          <w:lang w:val="sr-Latn-BA"/>
        </w:rPr>
        <w:t>202</w:t>
      </w:r>
      <w:r w:rsidRPr="00BA0D46">
        <w:rPr>
          <w:rFonts w:ascii="Arial Narrow" w:hAnsi="Arial Narrow" w:cs="Tahoma"/>
          <w:sz w:val="22"/>
          <w:lang w:val="sr-Cyrl-BA"/>
        </w:rPr>
        <w:t>4</w:t>
      </w:r>
      <w:r w:rsidRPr="00BA0D46">
        <w:rPr>
          <w:rFonts w:ascii="Arial Narrow" w:hAnsi="Arial Narrow" w:cs="Tahoma"/>
          <w:sz w:val="22"/>
          <w:lang w:val="sr-Latn-BA"/>
        </w:rPr>
        <w:t xml:space="preserve">. године </w:t>
      </w:r>
      <w:r w:rsidRPr="00BA0D46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9E2ADF" w:rsidRPr="00BA0D46">
        <w:rPr>
          <w:rFonts w:ascii="Arial Narrow" w:hAnsi="Arial Narrow" w:cs="Tahoma"/>
          <w:sz w:val="22"/>
          <w:lang w:val="sr-Cyrl-BA"/>
        </w:rPr>
        <w:t>двије</w:t>
      </w:r>
      <w:r w:rsidR="009E2ADF" w:rsidRPr="00BA0D46">
        <w:rPr>
          <w:rFonts w:ascii="Arial Narrow" w:hAnsi="Arial Narrow" w:cs="Tahoma"/>
          <w:sz w:val="22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>милијард</w:t>
      </w:r>
      <w:r w:rsidR="009E2ADF" w:rsidRPr="00BA0D46">
        <w:rPr>
          <w:rFonts w:ascii="Arial Narrow" w:hAnsi="Arial Narrow" w:cs="Tahoma"/>
          <w:sz w:val="22"/>
          <w:lang w:val="sr-Cyrl-BA"/>
        </w:rPr>
        <w:t>е</w:t>
      </w:r>
      <w:r w:rsidRPr="00BA0D46">
        <w:rPr>
          <w:rFonts w:ascii="Arial Narrow" w:hAnsi="Arial Narrow" w:cs="Tahoma"/>
          <w:sz w:val="22"/>
          <w:lang w:val="sr-Cyrl-BA"/>
        </w:rPr>
        <w:t xml:space="preserve"> и </w:t>
      </w:r>
      <w:r w:rsidR="001C2DAD" w:rsidRPr="00BA0D46">
        <w:rPr>
          <w:rFonts w:ascii="Arial Narrow" w:hAnsi="Arial Narrow" w:cs="Tahoma"/>
          <w:sz w:val="22"/>
        </w:rPr>
        <w:t>448</w:t>
      </w:r>
      <w:r w:rsidRPr="00BA0D46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BA0D46">
        <w:rPr>
          <w:rFonts w:ascii="Arial Narrow" w:hAnsi="Arial Narrow" w:cs="Tahoma"/>
          <w:sz w:val="22"/>
          <w:lang w:val="sr-Latn-BA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BA0D46">
        <w:rPr>
          <w:rFonts w:ascii="Arial Narrow" w:hAnsi="Arial Narrow" w:cs="Tahoma"/>
          <w:sz w:val="22"/>
        </w:rPr>
        <w:t>8</w:t>
      </w:r>
      <w:r w:rsidRPr="00BA0D46">
        <w:rPr>
          <w:rFonts w:ascii="Arial Narrow" w:hAnsi="Arial Narrow" w:cs="Tahoma"/>
          <w:sz w:val="22"/>
          <w:lang w:val="sr-Cyrl-BA"/>
        </w:rPr>
        <w:t>,</w:t>
      </w:r>
      <w:r w:rsidR="009E2ADF" w:rsidRPr="00BA0D46">
        <w:rPr>
          <w:rFonts w:ascii="Arial Narrow" w:hAnsi="Arial Narrow" w:cs="Tahoma"/>
          <w:sz w:val="22"/>
          <w:lang w:val="sr-Cyrl-BA"/>
        </w:rPr>
        <w:t>6</w:t>
      </w:r>
      <w:r w:rsidRPr="00BA0D46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13349D" w:rsidRPr="00BA0D46">
        <w:rPr>
          <w:rFonts w:ascii="Arial Narrow" w:hAnsi="Arial Narrow" w:cs="Tahoma"/>
          <w:sz w:val="22"/>
          <w:lang w:val="sr-Cyrl-RS"/>
        </w:rPr>
        <w:t xml:space="preserve">јун </w:t>
      </w:r>
      <w:r w:rsidRPr="00BA0D46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1C2DAD" w:rsidRPr="00BA0D46">
        <w:rPr>
          <w:rFonts w:ascii="Arial Narrow" w:hAnsi="Arial Narrow" w:cs="Tahoma"/>
          <w:sz w:val="22"/>
          <w:lang w:val="sr-Cyrl-RS"/>
        </w:rPr>
        <w:t>три</w:t>
      </w:r>
      <w:r w:rsidRPr="00BA0D46">
        <w:rPr>
          <w:rFonts w:ascii="Arial Narrow" w:hAnsi="Arial Narrow" w:cs="Tahoma"/>
          <w:sz w:val="22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 xml:space="preserve">милијарде и </w:t>
      </w:r>
      <w:r w:rsidR="001C2DAD" w:rsidRPr="00BA0D46">
        <w:rPr>
          <w:rFonts w:ascii="Arial Narrow" w:hAnsi="Arial Narrow" w:cs="Tahoma"/>
          <w:sz w:val="22"/>
          <w:lang w:val="sr-Cyrl-BA"/>
        </w:rPr>
        <w:t>554</w:t>
      </w:r>
      <w:r w:rsidRPr="00BA0D46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1C2DAD" w:rsidRPr="00BA0D46">
        <w:rPr>
          <w:rFonts w:ascii="Arial Narrow" w:hAnsi="Arial Narrow" w:cs="Tahoma"/>
          <w:sz w:val="22"/>
          <w:lang w:val="sr-Cyrl-BA"/>
        </w:rPr>
        <w:t>3</w:t>
      </w:r>
      <w:r w:rsidRPr="00BA0D46">
        <w:rPr>
          <w:rFonts w:ascii="Arial Narrow" w:hAnsi="Arial Narrow" w:cs="Tahoma"/>
          <w:sz w:val="22"/>
          <w:lang w:val="sr-Cyrl-BA"/>
        </w:rPr>
        <w:t>,</w:t>
      </w:r>
      <w:r w:rsidR="009E2ADF" w:rsidRPr="00BA0D46">
        <w:rPr>
          <w:rFonts w:ascii="Arial Narrow" w:hAnsi="Arial Narrow" w:cs="Tahoma"/>
          <w:sz w:val="22"/>
          <w:lang w:val="sr-Cyrl-BA"/>
        </w:rPr>
        <w:t>7</w:t>
      </w:r>
      <w:r w:rsidRPr="00BA0D46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13349D" w:rsidRPr="00BA0D46">
        <w:rPr>
          <w:rFonts w:ascii="Arial Narrow" w:hAnsi="Arial Narrow" w:cs="Tahoma"/>
          <w:sz w:val="22"/>
          <w:lang w:val="sr-Cyrl-RS"/>
        </w:rPr>
        <w:t xml:space="preserve">јун </w:t>
      </w:r>
      <w:r w:rsidRPr="00BA0D46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BA0D46">
        <w:rPr>
          <w:rFonts w:ascii="Arial Narrow" w:hAnsi="Arial Narrow" w:cs="Tahoma"/>
          <w:sz w:val="22"/>
          <w:lang w:val="sr-Cyrl-BA"/>
        </w:rPr>
        <w:t>6</w:t>
      </w:r>
      <w:r w:rsidR="001C2DAD" w:rsidRPr="00BA0D46">
        <w:rPr>
          <w:rFonts w:ascii="Arial Narrow" w:hAnsi="Arial Narrow" w:cs="Tahoma"/>
          <w:sz w:val="22"/>
          <w:lang w:val="sr-Cyrl-BA"/>
        </w:rPr>
        <w:t>8</w:t>
      </w:r>
      <w:r w:rsidRPr="00BA0D46">
        <w:rPr>
          <w:rFonts w:ascii="Arial Narrow" w:hAnsi="Arial Narrow" w:cs="Tahoma"/>
          <w:sz w:val="22"/>
          <w:lang w:val="sr-Cyrl-BA"/>
        </w:rPr>
        <w:t>,</w:t>
      </w:r>
      <w:r w:rsidR="001C2DAD" w:rsidRPr="00BA0D46">
        <w:rPr>
          <w:rFonts w:ascii="Arial Narrow" w:hAnsi="Arial Narrow" w:cs="Tahoma"/>
          <w:sz w:val="22"/>
          <w:lang w:val="sr-Cyrl-BA"/>
        </w:rPr>
        <w:t>9</w:t>
      </w:r>
      <w:r w:rsidRPr="00BA0D46">
        <w:rPr>
          <w:rFonts w:ascii="Arial Narrow" w:hAnsi="Arial Narrow" w:cs="Tahoma"/>
          <w:sz w:val="22"/>
          <w:lang w:val="sr-Cyrl-BA"/>
        </w:rPr>
        <w:t>%.</w:t>
      </w:r>
    </w:p>
    <w:p w:rsidR="00BD5F3E" w:rsidRPr="00BA0D46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BA0D46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BA0D46">
        <w:rPr>
          <w:rFonts w:ascii="Arial Narrow" w:hAnsi="Arial Narrow" w:cs="Tahoma"/>
          <w:sz w:val="22"/>
          <w:lang w:val="sr-Latn-BA"/>
        </w:rPr>
        <w:t xml:space="preserve">У </w:t>
      </w:r>
      <w:r w:rsidR="009E2ADF" w:rsidRPr="00BA0D46">
        <w:rPr>
          <w:rFonts w:ascii="Arial Narrow" w:hAnsi="Arial Narrow" w:cs="Tahoma"/>
          <w:sz w:val="22"/>
          <w:lang w:val="sr-Cyrl-RS"/>
        </w:rPr>
        <w:t>ју</w:t>
      </w:r>
      <w:r w:rsidR="0013349D" w:rsidRPr="00BA0D46">
        <w:rPr>
          <w:rFonts w:ascii="Arial Narrow" w:hAnsi="Arial Narrow" w:cs="Tahoma"/>
          <w:sz w:val="22"/>
          <w:lang w:val="sr-Cyrl-RS"/>
        </w:rPr>
        <w:t>ну</w:t>
      </w:r>
      <w:r w:rsidR="009E2ADF" w:rsidRPr="00BA0D46">
        <w:rPr>
          <w:rFonts w:ascii="Arial Narrow" w:hAnsi="Arial Narrow" w:cs="Tahoma"/>
          <w:sz w:val="22"/>
          <w:lang w:val="sr-Cyrl-RS"/>
        </w:rPr>
        <w:t xml:space="preserve"> </w:t>
      </w:r>
      <w:r w:rsidRPr="00BA0D46">
        <w:rPr>
          <w:rFonts w:ascii="Arial Narrow" w:hAnsi="Arial Narrow" w:cs="Tahoma"/>
          <w:sz w:val="22"/>
          <w:lang w:val="sr-Latn-BA"/>
        </w:rPr>
        <w:t>202</w:t>
      </w:r>
      <w:r w:rsidRPr="00BA0D46">
        <w:rPr>
          <w:rFonts w:ascii="Arial Narrow" w:hAnsi="Arial Narrow" w:cs="Tahoma"/>
          <w:sz w:val="22"/>
          <w:lang w:val="sr-Cyrl-BA"/>
        </w:rPr>
        <w:t>4</w:t>
      </w:r>
      <w:r w:rsidRPr="00BA0D46">
        <w:rPr>
          <w:rFonts w:ascii="Arial Narrow" w:hAnsi="Arial Narrow" w:cs="Tahoma"/>
          <w:sz w:val="22"/>
          <w:lang w:val="sr-Latn-BA"/>
        </w:rPr>
        <w:t xml:space="preserve">. године </w:t>
      </w:r>
      <w:r w:rsidRPr="00BA0D46">
        <w:rPr>
          <w:rFonts w:ascii="Arial Narrow" w:hAnsi="Arial Narrow" w:cs="Tahoma"/>
          <w:sz w:val="22"/>
          <w:lang w:val="sr-Cyrl-BA"/>
        </w:rPr>
        <w:t>оства</w:t>
      </w:r>
      <w:r w:rsidR="009E2ADF" w:rsidRPr="00BA0D46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1C2DAD" w:rsidRPr="00BA0D46">
        <w:rPr>
          <w:rFonts w:ascii="Arial Narrow" w:hAnsi="Arial Narrow" w:cs="Tahoma"/>
          <w:sz w:val="22"/>
        </w:rPr>
        <w:t>412</w:t>
      </w:r>
      <w:r w:rsidRPr="00BA0D46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BA0D46">
        <w:rPr>
          <w:rFonts w:ascii="Arial Narrow" w:hAnsi="Arial Narrow" w:cs="Tahoma"/>
          <w:sz w:val="22"/>
          <w:lang w:val="sr-Latn-BA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C2DAD" w:rsidRPr="00BA0D46">
        <w:rPr>
          <w:rFonts w:ascii="Arial Narrow" w:hAnsi="Arial Narrow" w:cs="Tahoma"/>
          <w:sz w:val="22"/>
        </w:rPr>
        <w:t>8</w:t>
      </w:r>
      <w:r w:rsidRPr="00BA0D46">
        <w:rPr>
          <w:rFonts w:ascii="Arial Narrow" w:hAnsi="Arial Narrow" w:cs="Tahoma"/>
          <w:sz w:val="22"/>
          <w:lang w:val="sr-Cyrl-BA"/>
        </w:rPr>
        <w:t>,</w:t>
      </w:r>
      <w:r w:rsidR="00266E96" w:rsidRPr="00BA0D46">
        <w:rPr>
          <w:rFonts w:ascii="Arial Narrow" w:hAnsi="Arial Narrow" w:cs="Tahoma"/>
          <w:sz w:val="22"/>
          <w:lang w:val="sr-Cyrl-BA"/>
        </w:rPr>
        <w:t>5</w:t>
      </w:r>
      <w:r w:rsidRPr="00BA0D46">
        <w:rPr>
          <w:rFonts w:ascii="Arial Narrow" w:hAnsi="Arial Narrow" w:cs="Tahoma"/>
          <w:sz w:val="22"/>
          <w:lang w:val="sr-Cyrl-BA"/>
        </w:rPr>
        <w:t xml:space="preserve">% </w:t>
      </w:r>
      <w:r w:rsidR="009E2ADF" w:rsidRPr="00BA0D46">
        <w:rPr>
          <w:rFonts w:ascii="Arial Narrow" w:hAnsi="Arial Narrow" w:cs="Tahoma"/>
          <w:sz w:val="22"/>
          <w:lang w:val="sr-Cyrl-BA"/>
        </w:rPr>
        <w:t>мање</w:t>
      </w:r>
      <w:r w:rsidRPr="00BA0D46">
        <w:rPr>
          <w:rFonts w:ascii="Arial Narrow" w:hAnsi="Arial Narrow" w:cs="Tahoma"/>
          <w:sz w:val="22"/>
          <w:lang w:val="sr-Cyrl-BA"/>
        </w:rPr>
        <w:t xml:space="preserve"> него у </w:t>
      </w:r>
      <w:r w:rsidR="0013349D" w:rsidRPr="00BA0D46">
        <w:rPr>
          <w:rFonts w:ascii="Arial Narrow" w:hAnsi="Arial Narrow" w:cs="Tahoma"/>
          <w:sz w:val="22"/>
          <w:lang w:val="sr-Cyrl-BA"/>
        </w:rPr>
        <w:t>јуну</w:t>
      </w:r>
      <w:r w:rsidRPr="00BA0D46">
        <w:rPr>
          <w:rFonts w:ascii="Arial Narrow" w:hAnsi="Arial Narrow" w:cs="Tahoma"/>
          <w:sz w:val="22"/>
          <w:lang w:val="sr-Latn-BA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1C2DAD" w:rsidRPr="00BA0D46">
        <w:rPr>
          <w:rFonts w:ascii="Arial Narrow" w:hAnsi="Arial Narrow" w:cs="Tahoma"/>
          <w:sz w:val="22"/>
        </w:rPr>
        <w:t>637</w:t>
      </w:r>
      <w:r w:rsidRPr="00BA0D46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1C2DAD" w:rsidRPr="00BA0D46">
        <w:rPr>
          <w:rFonts w:ascii="Arial Narrow" w:hAnsi="Arial Narrow" w:cs="Tahoma"/>
          <w:sz w:val="22"/>
        </w:rPr>
        <w:t>0</w:t>
      </w:r>
      <w:r w:rsidRPr="00BA0D46">
        <w:rPr>
          <w:rFonts w:ascii="Arial Narrow" w:hAnsi="Arial Narrow" w:cs="Tahoma"/>
          <w:sz w:val="22"/>
          <w:lang w:val="sr-Cyrl-BA"/>
        </w:rPr>
        <w:t>,</w:t>
      </w:r>
      <w:r w:rsidR="001C2DAD" w:rsidRPr="00BA0D46">
        <w:rPr>
          <w:rFonts w:ascii="Arial Narrow" w:hAnsi="Arial Narrow" w:cs="Tahoma"/>
          <w:sz w:val="22"/>
        </w:rPr>
        <w:t>4</w:t>
      </w:r>
      <w:r w:rsidRPr="00BA0D46">
        <w:rPr>
          <w:rFonts w:ascii="Arial Narrow" w:hAnsi="Arial Narrow" w:cs="Tahoma"/>
          <w:sz w:val="22"/>
          <w:lang w:val="sr-Cyrl-BA"/>
        </w:rPr>
        <w:t xml:space="preserve">% </w:t>
      </w:r>
      <w:r w:rsidR="00854969" w:rsidRPr="00BA0D46">
        <w:rPr>
          <w:rFonts w:ascii="Arial Narrow" w:hAnsi="Arial Narrow" w:cs="Tahoma"/>
          <w:sz w:val="22"/>
          <w:lang w:val="sr-Cyrl-BA"/>
        </w:rPr>
        <w:t xml:space="preserve">мање </w:t>
      </w:r>
      <w:r w:rsidRPr="00BA0D46">
        <w:rPr>
          <w:rFonts w:ascii="Arial Narrow" w:hAnsi="Arial Narrow" w:cs="Tahoma"/>
          <w:sz w:val="22"/>
          <w:lang w:val="sr-Cyrl-BA"/>
        </w:rPr>
        <w:t xml:space="preserve">него у </w:t>
      </w:r>
      <w:r w:rsidR="0013349D" w:rsidRPr="00BA0D46">
        <w:rPr>
          <w:rFonts w:ascii="Arial Narrow" w:hAnsi="Arial Narrow" w:cs="Tahoma"/>
          <w:sz w:val="22"/>
          <w:lang w:val="sr-Cyrl-BA"/>
        </w:rPr>
        <w:t>јуну</w:t>
      </w:r>
      <w:r w:rsidRPr="00BA0D46">
        <w:rPr>
          <w:rFonts w:ascii="Arial Narrow" w:hAnsi="Arial Narrow" w:cs="Tahoma"/>
          <w:sz w:val="22"/>
          <w:lang w:val="sr-Latn-BA"/>
        </w:rPr>
        <w:t xml:space="preserve"> </w:t>
      </w:r>
      <w:r w:rsidRPr="00BA0D46">
        <w:rPr>
          <w:rFonts w:ascii="Arial Narrow" w:hAnsi="Arial Narrow" w:cs="Tahoma"/>
          <w:sz w:val="22"/>
          <w:lang w:val="sr-Cyrl-BA"/>
        </w:rPr>
        <w:t xml:space="preserve">2023. </w:t>
      </w:r>
      <w:r w:rsidRPr="00BA0D46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BA0D46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854969" w:rsidRPr="00BA0D46">
        <w:rPr>
          <w:rFonts w:ascii="Arial Narrow" w:hAnsi="Arial Narrow" w:cs="Tahoma"/>
          <w:sz w:val="22"/>
        </w:rPr>
        <w:t>6</w:t>
      </w:r>
      <w:r w:rsidR="001C2DAD" w:rsidRPr="00BA0D46">
        <w:rPr>
          <w:rFonts w:ascii="Arial Narrow" w:hAnsi="Arial Narrow" w:cs="Tahoma"/>
          <w:sz w:val="22"/>
        </w:rPr>
        <w:t>4</w:t>
      </w:r>
      <w:r w:rsidRPr="00BA0D46">
        <w:rPr>
          <w:rFonts w:ascii="Arial Narrow" w:hAnsi="Arial Narrow" w:cs="Tahoma"/>
          <w:sz w:val="22"/>
          <w:lang w:val="sr-Cyrl-BA"/>
        </w:rPr>
        <w:t>,</w:t>
      </w:r>
      <w:r w:rsidR="001C2DAD" w:rsidRPr="00BA0D46">
        <w:rPr>
          <w:rFonts w:ascii="Arial Narrow" w:hAnsi="Arial Narrow" w:cs="Tahoma"/>
          <w:sz w:val="22"/>
        </w:rPr>
        <w:t>6</w:t>
      </w:r>
      <w:r w:rsidRPr="00BA0D46">
        <w:rPr>
          <w:rFonts w:ascii="Arial Narrow" w:hAnsi="Arial Narrow" w:cs="Tahoma"/>
          <w:sz w:val="22"/>
          <w:lang w:val="sr-Cyrl-BA"/>
        </w:rPr>
        <w:t>%.</w:t>
      </w:r>
    </w:p>
    <w:p w:rsidR="00BD5F3E" w:rsidRPr="00BA0D46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BA0D46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BA0D46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BA0D46">
        <w:rPr>
          <w:rFonts w:ascii="Arial Narrow" w:hAnsi="Arial Narrow" w:cs="Tahoma"/>
          <w:sz w:val="22"/>
        </w:rPr>
        <w:t>e</w:t>
      </w:r>
      <w:r w:rsidRPr="00BA0D46">
        <w:rPr>
          <w:rFonts w:ascii="Arial Narrow" w:hAnsi="Arial Narrow" w:cs="Tahoma"/>
          <w:sz w:val="22"/>
          <w:lang w:val="ru-RU"/>
        </w:rPr>
        <w:t xml:space="preserve"> Српск</w:t>
      </w:r>
      <w:r w:rsidRPr="00BA0D46">
        <w:rPr>
          <w:rFonts w:ascii="Arial Narrow" w:hAnsi="Arial Narrow" w:cs="Tahoma"/>
          <w:sz w:val="22"/>
        </w:rPr>
        <w:t>e</w:t>
      </w:r>
      <w:r w:rsidRPr="00BA0D46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13349D" w:rsidRPr="00BA0D46">
        <w:rPr>
          <w:rFonts w:ascii="Arial Narrow" w:hAnsi="Arial Narrow" w:cs="Tahoma"/>
          <w:sz w:val="22"/>
          <w:lang w:val="sr-Cyrl-RS"/>
        </w:rPr>
        <w:t xml:space="preserve">јун </w:t>
      </w:r>
      <w:r w:rsidRPr="00BA0D46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BA0D46">
        <w:rPr>
          <w:rFonts w:ascii="Arial Narrow" w:hAnsi="Arial Narrow" w:cs="Tahoma"/>
          <w:sz w:val="22"/>
        </w:rPr>
        <w:t>,</w:t>
      </w:r>
      <w:r w:rsidRPr="00BA0D46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BA0D46">
        <w:rPr>
          <w:rFonts w:ascii="Arial Narrow" w:hAnsi="Arial Narrow" w:cs="Tahoma"/>
          <w:sz w:val="22"/>
        </w:rPr>
        <w:t>,</w:t>
      </w:r>
      <w:r w:rsidRPr="00BA0D46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1C2DAD" w:rsidRPr="00BA0D46">
        <w:rPr>
          <w:rFonts w:ascii="Arial Narrow" w:hAnsi="Arial Narrow" w:cs="Tahoma"/>
          <w:sz w:val="22"/>
        </w:rPr>
        <w:t>410</w:t>
      </w:r>
      <w:r w:rsidRPr="00BA0D46">
        <w:rPr>
          <w:rFonts w:ascii="Arial Narrow" w:hAnsi="Arial Narrow" w:cs="Tahoma"/>
          <w:sz w:val="22"/>
          <w:lang w:val="sr-Cyrl-BA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милион</w:t>
      </w:r>
      <w:r w:rsidR="00854969" w:rsidRPr="00BA0D46">
        <w:rPr>
          <w:rFonts w:ascii="Arial Narrow" w:hAnsi="Arial Narrow" w:cs="Tahoma"/>
          <w:sz w:val="22"/>
          <w:lang w:val="sr-Cyrl-BA"/>
        </w:rPr>
        <w:t>а</w:t>
      </w:r>
      <w:r w:rsidRPr="00BA0D46">
        <w:rPr>
          <w:rFonts w:ascii="Arial Narrow" w:hAnsi="Arial Narrow" w:cs="Tahoma"/>
          <w:sz w:val="22"/>
          <w:lang w:val="sr-Cyrl-CS"/>
        </w:rPr>
        <w:t xml:space="preserve"> КМ (1</w:t>
      </w:r>
      <w:r w:rsidR="00854969" w:rsidRPr="00BA0D46">
        <w:rPr>
          <w:rFonts w:ascii="Arial Narrow" w:hAnsi="Arial Narrow" w:cs="Tahoma"/>
          <w:sz w:val="22"/>
          <w:lang w:val="sr-Cyrl-CS"/>
        </w:rPr>
        <w:t>6</w:t>
      </w:r>
      <w:r w:rsidRPr="00BA0D46">
        <w:rPr>
          <w:rFonts w:ascii="Arial Narrow" w:hAnsi="Arial Narrow" w:cs="Tahoma"/>
          <w:sz w:val="22"/>
          <w:lang w:val="sr-Cyrl-CS"/>
        </w:rPr>
        <w:t>,</w:t>
      </w:r>
      <w:r w:rsidR="001C2DAD" w:rsidRPr="00BA0D46">
        <w:rPr>
          <w:rFonts w:ascii="Arial Narrow" w:hAnsi="Arial Narrow" w:cs="Tahoma"/>
          <w:sz w:val="22"/>
          <w:lang w:val="sr-Cyrl-CS"/>
        </w:rPr>
        <w:t>7</w:t>
      </w:r>
      <w:r w:rsidRPr="00BA0D46">
        <w:rPr>
          <w:rFonts w:ascii="Arial Narrow" w:hAnsi="Arial Narrow" w:cs="Tahoma"/>
          <w:sz w:val="22"/>
          <w:lang w:val="sr-Cyrl-CS"/>
        </w:rPr>
        <w:t>%)</w:t>
      </w:r>
      <w:r w:rsidRPr="00BA0D46">
        <w:rPr>
          <w:rFonts w:ascii="Arial Narrow" w:hAnsi="Arial Narrow" w:cs="Tahoma"/>
          <w:sz w:val="22"/>
          <w:lang w:val="ru-RU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 xml:space="preserve">и у </w:t>
      </w:r>
      <w:r w:rsidRPr="00BA0D46">
        <w:rPr>
          <w:rFonts w:ascii="Arial Narrow" w:hAnsi="Arial Narrow" w:cs="Tahoma"/>
          <w:sz w:val="22"/>
          <w:lang w:val="sr-Cyrl-RS"/>
        </w:rPr>
        <w:lastRenderedPageBreak/>
        <w:t>Србију</w:t>
      </w:r>
      <w:r w:rsidRPr="00BA0D46">
        <w:rPr>
          <w:rFonts w:ascii="Arial Narrow" w:hAnsi="Arial Narrow" w:cs="Tahoma"/>
          <w:sz w:val="22"/>
          <w:lang w:val="sr-Cyrl-CS"/>
        </w:rPr>
        <w:t xml:space="preserve"> </w:t>
      </w:r>
      <w:r w:rsidR="001C2DAD" w:rsidRPr="00BA0D46">
        <w:rPr>
          <w:rFonts w:ascii="Arial Narrow" w:hAnsi="Arial Narrow" w:cs="Tahoma"/>
          <w:sz w:val="22"/>
        </w:rPr>
        <w:t>384</w:t>
      </w:r>
      <w:r w:rsidRPr="00BA0D46">
        <w:rPr>
          <w:rFonts w:ascii="Arial Narrow" w:hAnsi="Arial Narrow" w:cs="Tahoma"/>
          <w:sz w:val="22"/>
          <w:lang w:val="sr-Cyrl-CS"/>
        </w:rPr>
        <w:t xml:space="preserve"> милион</w:t>
      </w:r>
      <w:r w:rsidRPr="00BA0D46">
        <w:rPr>
          <w:rFonts w:ascii="Arial Narrow" w:hAnsi="Arial Narrow" w:cs="Tahoma"/>
          <w:sz w:val="22"/>
          <w:lang w:val="sr-Cyrl-BA"/>
        </w:rPr>
        <w:t>а</w:t>
      </w:r>
      <w:r w:rsidRPr="00BA0D46">
        <w:rPr>
          <w:rFonts w:ascii="Arial Narrow" w:hAnsi="Arial Narrow" w:cs="Tahoma"/>
          <w:sz w:val="22"/>
          <w:lang w:val="sr-Cyrl-CS"/>
        </w:rPr>
        <w:t xml:space="preserve"> КМ (1</w:t>
      </w:r>
      <w:r w:rsidRPr="00BA0D46">
        <w:rPr>
          <w:rFonts w:ascii="Arial Narrow" w:hAnsi="Arial Narrow" w:cs="Tahoma"/>
          <w:sz w:val="22"/>
        </w:rPr>
        <w:t>5</w:t>
      </w:r>
      <w:r w:rsidRPr="00BA0D46">
        <w:rPr>
          <w:rFonts w:ascii="Arial Narrow" w:hAnsi="Arial Narrow" w:cs="Tahoma"/>
          <w:sz w:val="22"/>
          <w:lang w:val="sr-Cyrl-CS"/>
        </w:rPr>
        <w:t>,</w:t>
      </w:r>
      <w:r w:rsidR="001C2DAD" w:rsidRPr="00BA0D46">
        <w:rPr>
          <w:rFonts w:ascii="Arial Narrow" w:hAnsi="Arial Narrow" w:cs="Tahoma"/>
          <w:sz w:val="22"/>
        </w:rPr>
        <w:t>7</w:t>
      </w:r>
      <w:r w:rsidRPr="00BA0D46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BA0D46">
        <w:rPr>
          <w:rFonts w:ascii="Arial Narrow" w:hAnsi="Arial Narrow" w:cs="Tahoma"/>
          <w:sz w:val="22"/>
          <w:lang w:val="sr-Cyrl-BA"/>
        </w:rPr>
        <w:t>н</w:t>
      </w:r>
      <w:r w:rsidRPr="00BA0D46">
        <w:rPr>
          <w:rFonts w:ascii="Arial Narrow" w:hAnsi="Arial Narrow" w:cs="Tahoma"/>
          <w:sz w:val="22"/>
          <w:lang w:val="sr-Cyrl-CS"/>
        </w:rPr>
        <w:t>ајвише се</w:t>
      </w:r>
      <w:r w:rsidRPr="00BA0D46">
        <w:rPr>
          <w:rFonts w:ascii="Arial Narrow" w:hAnsi="Arial Narrow" w:cs="Tahoma"/>
          <w:sz w:val="22"/>
        </w:rPr>
        <w:t>,</w:t>
      </w:r>
      <w:r w:rsidRPr="00BA0D46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BA0D46">
        <w:rPr>
          <w:rFonts w:ascii="Arial Narrow" w:hAnsi="Arial Narrow" w:cs="Tahoma"/>
          <w:sz w:val="22"/>
        </w:rPr>
        <w:t>,</w:t>
      </w:r>
      <w:r w:rsidRPr="00BA0D46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1C2DAD" w:rsidRPr="00BA0D46">
        <w:rPr>
          <w:rFonts w:ascii="Arial Narrow" w:hAnsi="Arial Narrow" w:cs="Tahoma"/>
          <w:sz w:val="22"/>
        </w:rPr>
        <w:t>556</w:t>
      </w:r>
      <w:r w:rsidRPr="00BA0D46">
        <w:rPr>
          <w:rFonts w:ascii="Arial Narrow" w:hAnsi="Arial Narrow" w:cs="Tahoma"/>
          <w:sz w:val="22"/>
          <w:lang w:val="sr-Cyrl-BA"/>
        </w:rPr>
        <w:t xml:space="preserve"> </w:t>
      </w:r>
      <w:r w:rsidRPr="00BA0D46">
        <w:rPr>
          <w:rFonts w:ascii="Arial Narrow" w:hAnsi="Arial Narrow" w:cs="Tahoma"/>
          <w:sz w:val="22"/>
          <w:lang w:val="sr-Cyrl-CS"/>
        </w:rPr>
        <w:t>милиона КМ (1</w:t>
      </w:r>
      <w:r w:rsidRPr="00BA0D46">
        <w:rPr>
          <w:rFonts w:ascii="Arial Narrow" w:hAnsi="Arial Narrow" w:cs="Tahoma"/>
          <w:sz w:val="22"/>
        </w:rPr>
        <w:t>5</w:t>
      </w:r>
      <w:r w:rsidRPr="00BA0D46">
        <w:rPr>
          <w:rFonts w:ascii="Arial Narrow" w:hAnsi="Arial Narrow" w:cs="Tahoma"/>
          <w:sz w:val="22"/>
          <w:lang w:val="sr-Cyrl-CS"/>
        </w:rPr>
        <w:t>,</w:t>
      </w:r>
      <w:r w:rsidR="001C2DAD" w:rsidRPr="00BA0D46">
        <w:rPr>
          <w:rFonts w:ascii="Arial Narrow" w:hAnsi="Arial Narrow" w:cs="Tahoma"/>
          <w:sz w:val="22"/>
        </w:rPr>
        <w:t>6</w:t>
      </w:r>
      <w:r w:rsidRPr="00BA0D46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1C2DAD" w:rsidRPr="00BA0D46">
        <w:rPr>
          <w:rFonts w:ascii="Arial Narrow" w:hAnsi="Arial Narrow" w:cs="Tahoma"/>
          <w:sz w:val="22"/>
        </w:rPr>
        <w:t>546</w:t>
      </w:r>
      <w:r w:rsidRPr="00BA0D46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BA0D46">
        <w:rPr>
          <w:rFonts w:ascii="Arial Narrow" w:hAnsi="Arial Narrow" w:cs="Tahoma"/>
          <w:sz w:val="22"/>
          <w:lang w:val="sr-Cyrl-CS"/>
        </w:rPr>
        <w:t>5</w:t>
      </w:r>
      <w:r w:rsidRPr="00BA0D46">
        <w:rPr>
          <w:rFonts w:ascii="Arial Narrow" w:hAnsi="Arial Narrow" w:cs="Tahoma"/>
          <w:sz w:val="22"/>
          <w:lang w:val="sr-Cyrl-CS"/>
        </w:rPr>
        <w:t>,</w:t>
      </w:r>
      <w:r w:rsidR="001C2DAD" w:rsidRPr="00BA0D46">
        <w:rPr>
          <w:rFonts w:ascii="Arial Narrow" w:hAnsi="Arial Narrow" w:cs="Tahoma"/>
          <w:sz w:val="22"/>
          <w:lang w:val="sr-Cyrl-CS"/>
        </w:rPr>
        <w:t>4</w:t>
      </w:r>
      <w:r w:rsidRPr="00BA0D46">
        <w:rPr>
          <w:rFonts w:ascii="Arial Narrow" w:hAnsi="Arial Narrow" w:cs="Tahoma"/>
          <w:sz w:val="22"/>
          <w:lang w:val="sr-Cyrl-CS"/>
        </w:rPr>
        <w:t>%).</w:t>
      </w:r>
    </w:p>
    <w:p w:rsidR="00EC6A4E" w:rsidRPr="00BA0D46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BA0D46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BA0D46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BA0D46">
        <w:rPr>
          <w:rFonts w:ascii="Arial Narrow" w:hAnsi="Arial Narrow" w:cs="Tahoma"/>
          <w:sz w:val="22"/>
          <w:lang w:val="ru-RU"/>
        </w:rPr>
        <w:t>у периоду јануар</w:t>
      </w:r>
      <w:r w:rsidRPr="00BA0D46">
        <w:rPr>
          <w:rFonts w:ascii="Arial Narrow" w:hAnsi="Arial Narrow" w:cs="Tahoma"/>
          <w:sz w:val="22"/>
          <w:lang w:val="sr-Cyrl-BA"/>
        </w:rPr>
        <w:t xml:space="preserve"> - </w:t>
      </w:r>
      <w:r w:rsidR="0013349D" w:rsidRPr="00BA0D46">
        <w:rPr>
          <w:rFonts w:ascii="Arial Narrow" w:hAnsi="Arial Narrow" w:cs="Tahoma"/>
          <w:sz w:val="22"/>
          <w:lang w:val="sr-Cyrl-RS"/>
        </w:rPr>
        <w:t xml:space="preserve">јун </w:t>
      </w:r>
      <w:r w:rsidRPr="00BA0D46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1</w:t>
      </w:r>
      <w:r w:rsidR="001C2DAD" w:rsidRPr="00BA0D46">
        <w:rPr>
          <w:rFonts w:ascii="Arial Narrow" w:hAnsi="Arial Narrow" w:cs="Tahoma"/>
          <w:sz w:val="22"/>
          <w:szCs w:val="22"/>
          <w:lang w:val="sr-Cyrl-BA"/>
        </w:rPr>
        <w:t>75</w:t>
      </w:r>
      <w:r w:rsidRPr="00BA0D4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BA0D46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BA0D46">
        <w:rPr>
          <w:rFonts w:ascii="Arial Narrow" w:hAnsi="Arial Narrow" w:cs="Tahoma"/>
          <w:sz w:val="22"/>
          <w:szCs w:val="22"/>
          <w:lang w:val="sr-Latn-BA"/>
        </w:rPr>
        <w:t>,</w:t>
      </w:r>
      <w:r w:rsidR="001C2DAD" w:rsidRPr="00BA0D46">
        <w:rPr>
          <w:rFonts w:ascii="Arial Narrow" w:hAnsi="Arial Narrow" w:cs="Tahoma"/>
          <w:sz w:val="22"/>
          <w:szCs w:val="22"/>
          <w:lang w:val="sr-Cyrl-BA"/>
        </w:rPr>
        <w:t>1</w:t>
      </w:r>
      <w:r w:rsidRPr="00BA0D46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BA0D46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1C2DAD" w:rsidRPr="00BA0D46">
        <w:rPr>
          <w:rFonts w:ascii="Arial Narrow" w:hAnsi="Arial Narrow" w:cs="Tahoma"/>
          <w:sz w:val="22"/>
          <w:szCs w:val="22"/>
          <w:lang w:val="sr-Cyrl-BA"/>
        </w:rPr>
        <w:t>264</w:t>
      </w:r>
      <w:r w:rsidRPr="00BA0D4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1C2DAD" w:rsidRPr="00BA0D46">
        <w:rPr>
          <w:rFonts w:ascii="Arial Narrow" w:hAnsi="Arial Narrow" w:cs="Tahoma"/>
          <w:sz w:val="22"/>
          <w:szCs w:val="22"/>
        </w:rPr>
        <w:t>4</w:t>
      </w:r>
      <w:r w:rsidRPr="00BA0D46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BA0D46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BA0D46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A0D4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A0D4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A0D4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BA0D4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tfCUK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BA0D4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A0D46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BA0D4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2301427</wp:posOffset>
                </wp:positionH>
                <wp:positionV relativeFrom="paragraph">
                  <wp:posOffset>2244195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81.2pt;margin-top:176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RVme&#10;3+IAAAALAQAADwAAAAAAAAAAAAAAAACd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BA0D4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DsoWjH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BA0D46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BA0D46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BA0D4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A0D4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A0D4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A0D4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A0D4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BA0D46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BA0D46">
        <w:rPr>
          <w:rFonts w:ascii="Arial Narrow" w:hAnsi="Arial Narrow" w:cs="Tahoma"/>
          <w:sz w:val="16"/>
          <w:szCs w:val="22"/>
          <w:lang w:val="sr-Cyrl-BA"/>
        </w:rPr>
        <w:t>4</w:t>
      </w:r>
      <w:r w:rsidRPr="00BA0D46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BA0D46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BA0D46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BA0D46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BA0D46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BA0D46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BA0D4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BA0D4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29027F" w:rsidRDefault="0029027F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Pr="00FE1625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CA530F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CA530F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CA530F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CA530F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A530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A530F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A530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A530F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BA0D46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A0D46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E1625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="00BA0D4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CF159F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BA0D46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230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4620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27F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6F9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A12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6D28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B8B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D46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30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6209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JUN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2023</c:v>
                  </c:pt>
                  <c:pt idx="7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1284</c:v>
                </c:pt>
                <c:pt idx="1">
                  <c:v>1278</c:v>
                </c:pt>
                <c:pt idx="2">
                  <c:v>1286</c:v>
                </c:pt>
                <c:pt idx="3">
                  <c:v>1277</c:v>
                </c:pt>
                <c:pt idx="4">
                  <c:v>1290</c:v>
                </c:pt>
                <c:pt idx="5">
                  <c:v>1296</c:v>
                </c:pt>
                <c:pt idx="6">
                  <c:v>1304</c:v>
                </c:pt>
                <c:pt idx="7">
                  <c:v>1312</c:v>
                </c:pt>
                <c:pt idx="8">
                  <c:v>1392</c:v>
                </c:pt>
                <c:pt idx="9" formatCode="General">
                  <c:v>1394</c:v>
                </c:pt>
                <c:pt idx="10">
                  <c:v>1400</c:v>
                </c:pt>
                <c:pt idx="11">
                  <c:v>1403</c:v>
                </c:pt>
                <c:pt idx="12">
                  <c:v>1426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17-4382-85B3-FDFD2AC98E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2023</c:v>
                  </c:pt>
                  <c:pt idx="7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-0.1</c:v>
                </c:pt>
                <c:pt idx="2">
                  <c:v>1.1000000000000001</c:v>
                </c:pt>
                <c:pt idx="3">
                  <c:v>0.8</c:v>
                </c:pt>
                <c:pt idx="4">
                  <c:v>0</c:v>
                </c:pt>
                <c:pt idx="5">
                  <c:v>-0.2</c:v>
                </c:pt>
                <c:pt idx="6">
                  <c:v>-0.3</c:v>
                </c:pt>
                <c:pt idx="7">
                  <c:v>0.3</c:v>
                </c:pt>
                <c:pt idx="8">
                  <c:v>0.5</c:v>
                </c:pt>
                <c:pt idx="9">
                  <c:v>0.4</c:v>
                </c:pt>
                <c:pt idx="10">
                  <c:v>0</c:v>
                </c:pt>
                <c:pt idx="11">
                  <c:v>-0.2</c:v>
                </c:pt>
                <c:pt idx="12">
                  <c:v>-0.5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2023</c:v>
                  </c:pt>
                  <c:pt idx="7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6.2</c:v>
                </c:pt>
                <c:pt idx="1">
                  <c:v>5.2</c:v>
                </c:pt>
                <c:pt idx="2">
                  <c:v>5.9</c:v>
                </c:pt>
                <c:pt idx="3">
                  <c:v>5.7</c:v>
                </c:pt>
                <c:pt idx="4">
                  <c:v>3.8</c:v>
                </c:pt>
                <c:pt idx="5">
                  <c:v>3.1</c:v>
                </c:pt>
                <c:pt idx="6">
                  <c:v>3.3</c:v>
                </c:pt>
                <c:pt idx="7">
                  <c:v>3</c:v>
                </c:pt>
                <c:pt idx="8">
                  <c:v>2.8</c:v>
                </c:pt>
                <c:pt idx="9">
                  <c:v>2.7</c:v>
                </c:pt>
                <c:pt idx="10">
                  <c:v>2.5</c:v>
                </c:pt>
                <c:pt idx="11">
                  <c:v>2.2999999999999998</c:v>
                </c:pt>
                <c:pt idx="12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2020</c:v>
                  </c:pt>
                  <c:pt idx="7">
                    <c:v>2021</c:v>
                  </c:pt>
                  <c:pt idx="19">
                    <c:v>2022</c:v>
                  </c:pt>
                  <c:pt idx="31">
                    <c:v>2023</c:v>
                  </c:pt>
                  <c:pt idx="43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88.051766641008797</c:v>
                </c:pt>
                <c:pt idx="1">
                  <c:v>91.140133542414787</c:v>
                </c:pt>
                <c:pt idx="2">
                  <c:v>91.485230801351108</c:v>
                </c:pt>
                <c:pt idx="3">
                  <c:v>91.659203251344238</c:v>
                </c:pt>
                <c:pt idx="4">
                  <c:v>94.495889161036317</c:v>
                </c:pt>
                <c:pt idx="5">
                  <c:v>93.163399122558729</c:v>
                </c:pt>
                <c:pt idx="6">
                  <c:v>95.414266841520387</c:v>
                </c:pt>
                <c:pt idx="7">
                  <c:v>95.562470085431457</c:v>
                </c:pt>
                <c:pt idx="8">
                  <c:v>100.31910762707059</c:v>
                </c:pt>
                <c:pt idx="9">
                  <c:v>97.932683643586245</c:v>
                </c:pt>
                <c:pt idx="10">
                  <c:v>99.400424363675768</c:v>
                </c:pt>
                <c:pt idx="11">
                  <c:v>98.745839073347057</c:v>
                </c:pt>
                <c:pt idx="12">
                  <c:v>101.9519433990795</c:v>
                </c:pt>
                <c:pt idx="13">
                  <c:v>99.928507398841603</c:v>
                </c:pt>
                <c:pt idx="14">
                  <c:v>99.426075259511322</c:v>
                </c:pt>
                <c:pt idx="15">
                  <c:v>101.09858974083387</c:v>
                </c:pt>
                <c:pt idx="16">
                  <c:v>99.827440187521276</c:v>
                </c:pt>
                <c:pt idx="17">
                  <c:v>102.94313774008154</c:v>
                </c:pt>
                <c:pt idx="18">
                  <c:v>102.61696812879448</c:v>
                </c:pt>
                <c:pt idx="19">
                  <c:v>98.483085843016369</c:v>
                </c:pt>
                <c:pt idx="20">
                  <c:v>99.341679687775127</c:v>
                </c:pt>
                <c:pt idx="21">
                  <c:v>101.55541594103056</c:v>
                </c:pt>
                <c:pt idx="22">
                  <c:v>102.73189336358861</c:v>
                </c:pt>
                <c:pt idx="23">
                  <c:v>102.12366769592558</c:v>
                </c:pt>
                <c:pt idx="24">
                  <c:v>101.11893376672288</c:v>
                </c:pt>
                <c:pt idx="25">
                  <c:v>99.043796051804989</c:v>
                </c:pt>
                <c:pt idx="26">
                  <c:v>100.16569844054533</c:v>
                </c:pt>
                <c:pt idx="27">
                  <c:v>97.78746353654887</c:v>
                </c:pt>
                <c:pt idx="28">
                  <c:v>99.166527833803812</c:v>
                </c:pt>
                <c:pt idx="29">
                  <c:v>100.14604461146209</c:v>
                </c:pt>
                <c:pt idx="30">
                  <c:v>98.675546228011257</c:v>
                </c:pt>
                <c:pt idx="31">
                  <c:v>100.33151965422299</c:v>
                </c:pt>
                <c:pt idx="32">
                  <c:v>96.771671958990325</c:v>
                </c:pt>
                <c:pt idx="33">
                  <c:v>99.674771612482104</c:v>
                </c:pt>
                <c:pt idx="34">
                  <c:v>96.771772761106803</c:v>
                </c:pt>
                <c:pt idx="35">
                  <c:v>98.094276554841841</c:v>
                </c:pt>
                <c:pt idx="36">
                  <c:v>96.386438564197348</c:v>
                </c:pt>
                <c:pt idx="37">
                  <c:v>97.352702782585851</c:v>
                </c:pt>
                <c:pt idx="38">
                  <c:v>96.260047653610968</c:v>
                </c:pt>
                <c:pt idx="39">
                  <c:v>97.150444128799819</c:v>
                </c:pt>
                <c:pt idx="40">
                  <c:v>96.045908534596819</c:v>
                </c:pt>
                <c:pt idx="41">
                  <c:v>93.258708895402236</c:v>
                </c:pt>
                <c:pt idx="42">
                  <c:v>94.182888052639825</c:v>
                </c:pt>
                <c:pt idx="43">
                  <c:v>91.583620601416868</c:v>
                </c:pt>
                <c:pt idx="44">
                  <c:v>93.70218400361226</c:v>
                </c:pt>
                <c:pt idx="45">
                  <c:v>91.243815801337405</c:v>
                </c:pt>
                <c:pt idx="46">
                  <c:v>91.01577672399371</c:v>
                </c:pt>
                <c:pt idx="47">
                  <c:v>89.553020030115277</c:v>
                </c:pt>
                <c:pt idx="48">
                  <c:v>89.529173847883712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E1-4D06-9FF6-14ACBD7F2CDC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2020</c:v>
                  </c:pt>
                  <c:pt idx="7">
                    <c:v>2021</c:v>
                  </c:pt>
                  <c:pt idx="19">
                    <c:v>2022</c:v>
                  </c:pt>
                  <c:pt idx="31">
                    <c:v>2023</c:v>
                  </c:pt>
                  <c:pt idx="43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90.540379162622457</c:v>
                </c:pt>
                <c:pt idx="1">
                  <c:v>90.999510522925831</c:v>
                </c:pt>
                <c:pt idx="2">
                  <c:v>91.646360793334992</c:v>
                </c:pt>
                <c:pt idx="3">
                  <c:v>92.421841404472275</c:v>
                </c:pt>
                <c:pt idx="4">
                  <c:v>93.295230611126442</c:v>
                </c:pt>
                <c:pt idx="5">
                  <c:v>94.215498463355175</c:v>
                </c:pt>
                <c:pt idx="6">
                  <c:v>95.199728430084235</c:v>
                </c:pt>
                <c:pt idx="7">
                  <c:v>96.245097976095408</c:v>
                </c:pt>
                <c:pt idx="8">
                  <c:v>97.235582795206057</c:v>
                </c:pt>
                <c:pt idx="9">
                  <c:v>98.048603468461906</c:v>
                </c:pt>
                <c:pt idx="10">
                  <c:v>98.719221648342113</c:v>
                </c:pt>
                <c:pt idx="11">
                  <c:v>99.320670137700077</c:v>
                </c:pt>
                <c:pt idx="12">
                  <c:v>99.81819437346158</c:v>
                </c:pt>
                <c:pt idx="13">
                  <c:v>100.15590695645506</c:v>
                </c:pt>
                <c:pt idx="14">
                  <c:v>100.41498668219056</c:v>
                </c:pt>
                <c:pt idx="15">
                  <c:v>100.67036748896541</c:v>
                </c:pt>
                <c:pt idx="16">
                  <c:v>100.90682780043453</c:v>
                </c:pt>
                <c:pt idx="17">
                  <c:v>101.08523911170896</c:v>
                </c:pt>
                <c:pt idx="18">
                  <c:v>101.08878218686178</c:v>
                </c:pt>
                <c:pt idx="19">
                  <c:v>100.97478263819073</c:v>
                </c:pt>
                <c:pt idx="20">
                  <c:v>100.97102988952993</c:v>
                </c:pt>
                <c:pt idx="21">
                  <c:v>101.08414899420563</c:v>
                </c:pt>
                <c:pt idx="22">
                  <c:v>101.12724852329806</c:v>
                </c:pt>
                <c:pt idx="23">
                  <c:v>100.98209049868888</c:v>
                </c:pt>
                <c:pt idx="24">
                  <c:v>100.66565502139964</c:v>
                </c:pt>
                <c:pt idx="25">
                  <c:v>100.29079035702553</c:v>
                </c:pt>
                <c:pt idx="26">
                  <c:v>99.944542252764577</c:v>
                </c:pt>
                <c:pt idx="27">
                  <c:v>99.660019721406087</c:v>
                </c:pt>
                <c:pt idx="28">
                  <c:v>99.4742553399619</c:v>
                </c:pt>
                <c:pt idx="29">
                  <c:v>99.32112000849618</c:v>
                </c:pt>
                <c:pt idx="30">
                  <c:v>99.121097528096087</c:v>
                </c:pt>
                <c:pt idx="31">
                  <c:v>98.856000970258236</c:v>
                </c:pt>
                <c:pt idx="32">
                  <c:v>98.545230326536284</c:v>
                </c:pt>
                <c:pt idx="33">
                  <c:v>98.228396462083353</c:v>
                </c:pt>
                <c:pt idx="34">
                  <c:v>97.885986269783373</c:v>
                </c:pt>
                <c:pt idx="35">
                  <c:v>97.522941794799735</c:v>
                </c:pt>
                <c:pt idx="36">
                  <c:v>97.152761592998786</c:v>
                </c:pt>
                <c:pt idx="37">
                  <c:v>96.762373729996725</c:v>
                </c:pt>
                <c:pt idx="38">
                  <c:v>96.3281209716136</c:v>
                </c:pt>
                <c:pt idx="39">
                  <c:v>95.806423833094115</c:v>
                </c:pt>
                <c:pt idx="40">
                  <c:v>95.150040070448924</c:v>
                </c:pt>
                <c:pt idx="41">
                  <c:v>94.412262524822751</c:v>
                </c:pt>
                <c:pt idx="42">
                  <c:v>93.686755457987573</c:v>
                </c:pt>
                <c:pt idx="43">
                  <c:v>93.000716705736153</c:v>
                </c:pt>
                <c:pt idx="44">
                  <c:v>92.342179926493245</c:v>
                </c:pt>
                <c:pt idx="45">
                  <c:v>91.661286354350267</c:v>
                </c:pt>
                <c:pt idx="46">
                  <c:v>90.972866287704178</c:v>
                </c:pt>
                <c:pt idx="47">
                  <c:v>90.331130467933363</c:v>
                </c:pt>
                <c:pt idx="48">
                  <c:v>89.758220223594435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E1-4D06-9FF6-14ACBD7F2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'Jun_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'Jun_ 2024'!$B$1:$N$1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2024'!$B$2:$N$2</c:f>
              <c:numCache>
                <c:formatCode>0</c:formatCode>
                <c:ptCount val="13"/>
                <c:pt idx="0">
                  <c:v>639973</c:v>
                </c:pt>
                <c:pt idx="1">
                  <c:v>603328</c:v>
                </c:pt>
                <c:pt idx="2">
                  <c:v>569066</c:v>
                </c:pt>
                <c:pt idx="3">
                  <c:v>631740</c:v>
                </c:pt>
                <c:pt idx="4">
                  <c:v>600367</c:v>
                </c:pt>
                <c:pt idx="5">
                  <c:v>599184</c:v>
                </c:pt>
                <c:pt idx="6">
                  <c:v>610942</c:v>
                </c:pt>
                <c:pt idx="7">
                  <c:v>436764</c:v>
                </c:pt>
                <c:pt idx="8">
                  <c:v>588915</c:v>
                </c:pt>
                <c:pt idx="9">
                  <c:v>660166</c:v>
                </c:pt>
                <c:pt idx="10">
                  <c:v>655956</c:v>
                </c:pt>
                <c:pt idx="11">
                  <c:v>574961</c:v>
                </c:pt>
                <c:pt idx="12">
                  <c:v>637180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'Jun_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'Jun_ 2024'!$B$1:$N$1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2024'!$B$3:$N$3</c:f>
              <c:numCache>
                <c:formatCode>0</c:formatCode>
                <c:ptCount val="13"/>
                <c:pt idx="0">
                  <c:v>450242</c:v>
                </c:pt>
                <c:pt idx="1">
                  <c:v>431598</c:v>
                </c:pt>
                <c:pt idx="2">
                  <c:v>348940</c:v>
                </c:pt>
                <c:pt idx="3">
                  <c:v>456818</c:v>
                </c:pt>
                <c:pt idx="4">
                  <c:v>441048</c:v>
                </c:pt>
                <c:pt idx="5">
                  <c:v>444027</c:v>
                </c:pt>
                <c:pt idx="6">
                  <c:v>384160</c:v>
                </c:pt>
                <c:pt idx="7">
                  <c:v>349962</c:v>
                </c:pt>
                <c:pt idx="8">
                  <c:v>406905</c:v>
                </c:pt>
                <c:pt idx="9">
                  <c:v>424719</c:v>
                </c:pt>
                <c:pt idx="10">
                  <c:v>469852</c:v>
                </c:pt>
                <c:pt idx="11">
                  <c:v>385040</c:v>
                </c:pt>
                <c:pt idx="12">
                  <c:v>411891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8692-D6C3-48D3-9411-3EA64C41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1050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7445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94</cp:revision>
  <cp:lastPrinted>2020-06-17T08:46:00Z</cp:lastPrinted>
  <dcterms:created xsi:type="dcterms:W3CDTF">2024-03-21T06:55:00Z</dcterms:created>
  <dcterms:modified xsi:type="dcterms:W3CDTF">2024-07-19T12:24:00Z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