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FA0DC3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A0DC3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C104C2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A0DC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FE346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5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21039E" w:rsidRPr="0021039E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CS"/>
              </w:rPr>
              <w:t>234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D762C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5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FE346A" w:rsidP="002930C1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</w:t>
            </w:r>
            <w:r w:rsidR="002930C1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л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D20BE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5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80434C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80434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80434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80434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244563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="004D737B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B72D35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5</w:t>
      </w:r>
      <w:r w:rsidR="00244563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2B65C5" w:rsidRPr="0080434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E33D13" w:rsidRPr="0080434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80434C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80434C">
        <w:rPr>
          <w:rFonts w:ascii="Arial Narrow" w:hAnsi="Arial Narrow" w:cs="Tahoma"/>
          <w:b/>
          <w:sz w:val="28"/>
          <w:szCs w:val="22"/>
          <w:lang w:val="sr-Cyrl-CS"/>
        </w:rPr>
        <w:t>Реалан раст плате</w:t>
      </w:r>
      <w:r w:rsidR="00D20BE2" w:rsidRPr="0080434C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D66251" w:rsidRPr="0080434C">
        <w:rPr>
          <w:rFonts w:ascii="Arial Narrow" w:hAnsi="Arial Narrow" w:cs="Tahoma"/>
          <w:b/>
          <w:sz w:val="28"/>
          <w:szCs w:val="22"/>
          <w:lang w:val="sr-Cyrl-CS"/>
        </w:rPr>
        <w:t>на годишњем нивоу</w:t>
      </w:r>
      <w:r w:rsidR="00D20BE2" w:rsidRPr="0080434C">
        <w:rPr>
          <w:rFonts w:ascii="Arial Narrow" w:hAnsi="Arial Narrow" w:cs="Tahoma"/>
          <w:b/>
          <w:sz w:val="28"/>
          <w:szCs w:val="22"/>
          <w:lang w:val="sr-Cyrl-CS"/>
        </w:rPr>
        <w:t xml:space="preserve"> </w:t>
      </w:r>
      <w:r w:rsidR="00244563" w:rsidRPr="0080434C">
        <w:rPr>
          <w:rFonts w:ascii="Arial Narrow" w:hAnsi="Arial Narrow" w:cs="Tahoma"/>
          <w:b/>
          <w:sz w:val="28"/>
          <w:szCs w:val="22"/>
          <w:lang w:val="sr-Cyrl-CS"/>
        </w:rPr>
        <w:t>4</w:t>
      </w:r>
      <w:r w:rsidR="004841F2" w:rsidRPr="0080434C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2B65C5" w:rsidRPr="0080434C">
        <w:rPr>
          <w:rFonts w:ascii="Arial Narrow" w:hAnsi="Arial Narrow" w:cs="Tahoma"/>
          <w:b/>
          <w:sz w:val="28"/>
          <w:szCs w:val="22"/>
          <w:lang w:val="sr-Cyrl-BA"/>
        </w:rPr>
        <w:t>8</w:t>
      </w:r>
      <w:r w:rsidR="004841F2" w:rsidRPr="0080434C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80434C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80434C">
        <w:rPr>
          <w:rFonts w:ascii="Tahoma" w:hAnsi="Tahoma" w:cs="Tahoma"/>
          <w:b/>
          <w:sz w:val="24"/>
          <w:lang w:val="sr-Cyrl-CS"/>
        </w:rPr>
        <w:tab/>
      </w:r>
      <w:r w:rsidRPr="0080434C">
        <w:rPr>
          <w:rFonts w:ascii="Tahoma" w:hAnsi="Tahoma" w:cs="Tahoma"/>
          <w:b/>
          <w:sz w:val="24"/>
          <w:lang w:val="sr-Cyrl-CS"/>
        </w:rPr>
        <w:tab/>
      </w:r>
    </w:p>
    <w:p w:rsidR="0070074E" w:rsidRPr="0080434C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80434C">
        <w:rPr>
          <w:rFonts w:ascii="Arial Narrow" w:hAnsi="Arial Narrow" w:cs="Tahoma"/>
          <w:sz w:val="22"/>
          <w:lang w:val="sr-Cyrl-BA"/>
        </w:rPr>
        <w:t>П</w:t>
      </w:r>
      <w:r w:rsidRPr="0080434C">
        <w:rPr>
          <w:rFonts w:ascii="Arial Narrow" w:hAnsi="Arial Narrow" w:cs="Tahoma"/>
          <w:sz w:val="22"/>
          <w:lang w:val="sr-Cyrl-CS"/>
        </w:rPr>
        <w:t>росјечна</w:t>
      </w:r>
      <w:r w:rsidRPr="0080434C">
        <w:rPr>
          <w:rFonts w:ascii="Arial Narrow" w:hAnsi="Arial Narrow" w:cs="Tahoma"/>
          <w:sz w:val="22"/>
          <w:lang w:val="ru-RU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мјесечна</w:t>
      </w:r>
      <w:r w:rsidR="008E543D" w:rsidRPr="0080434C">
        <w:rPr>
          <w:rFonts w:ascii="Arial Narrow" w:hAnsi="Arial Narrow" w:cs="Tahoma"/>
          <w:sz w:val="22"/>
          <w:lang w:val="sr-Cyrl-CS"/>
        </w:rPr>
        <w:t xml:space="preserve"> нето</w:t>
      </w:r>
      <w:r w:rsidRPr="0080434C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у Републици Српској</w:t>
      </w:r>
      <w:r w:rsidRPr="0080434C">
        <w:rPr>
          <w:rFonts w:ascii="Arial Narrow" w:hAnsi="Arial Narrow" w:cs="Tahoma"/>
          <w:b/>
          <w:sz w:val="22"/>
          <w:lang w:val="ru-RU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44563" w:rsidRPr="0080434C">
        <w:rPr>
          <w:rFonts w:ascii="Arial Narrow" w:hAnsi="Arial Narrow" w:cs="Tahoma"/>
          <w:sz w:val="22"/>
          <w:lang w:val="sr-Cyrl-BA"/>
        </w:rPr>
        <w:t>јуну</w:t>
      </w:r>
      <w:r w:rsidRPr="0080434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0434C">
        <w:rPr>
          <w:rFonts w:ascii="Arial Narrow" w:hAnsi="Arial Narrow" w:cs="Tahoma"/>
          <w:sz w:val="22"/>
          <w:lang w:val="sr-Cyrl-CS"/>
        </w:rPr>
        <w:t>2</w:t>
      </w:r>
      <w:r w:rsidR="0073396A" w:rsidRPr="0080434C">
        <w:rPr>
          <w:rFonts w:ascii="Arial Narrow" w:hAnsi="Arial Narrow" w:cs="Tahoma"/>
          <w:sz w:val="22"/>
          <w:lang w:val="sr-Cyrl-CS"/>
        </w:rPr>
        <w:t>5</w:t>
      </w:r>
      <w:r w:rsidRPr="0080434C">
        <w:rPr>
          <w:rFonts w:ascii="Arial Narrow" w:hAnsi="Arial Narrow" w:cs="Tahoma"/>
          <w:sz w:val="22"/>
          <w:lang w:val="sr-Cyrl-CS"/>
        </w:rPr>
        <w:t>.</w:t>
      </w:r>
      <w:r w:rsidRPr="0080434C">
        <w:rPr>
          <w:rFonts w:ascii="Arial Narrow" w:hAnsi="Arial Narrow" w:cs="Tahoma"/>
          <w:sz w:val="22"/>
          <w:lang w:val="ru-RU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80434C">
        <w:rPr>
          <w:rFonts w:ascii="Arial Narrow" w:hAnsi="Arial Narrow" w:cs="Tahoma"/>
          <w:sz w:val="22"/>
          <w:lang w:val="sr-Cyrl-BA"/>
        </w:rPr>
        <w:t>ла је</w:t>
      </w:r>
      <w:r w:rsidR="00021230" w:rsidRPr="0080434C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80434C">
        <w:rPr>
          <w:rFonts w:ascii="Arial Narrow" w:hAnsi="Arial Narrow" w:cs="Tahoma"/>
          <w:sz w:val="22"/>
          <w:lang w:val="sr-Cyrl-CS"/>
        </w:rPr>
        <w:t>1</w:t>
      </w:r>
      <w:r w:rsidR="004707B2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80434C">
        <w:rPr>
          <w:rFonts w:ascii="Arial Narrow" w:hAnsi="Arial Narrow" w:cs="Tahoma"/>
          <w:sz w:val="22"/>
          <w:lang w:val="sr-Cyrl-BA"/>
        </w:rPr>
        <w:t>5</w:t>
      </w:r>
      <w:r w:rsidR="00244563" w:rsidRPr="0080434C">
        <w:rPr>
          <w:rFonts w:ascii="Arial Narrow" w:hAnsi="Arial Narrow" w:cs="Tahoma"/>
          <w:sz w:val="22"/>
          <w:lang w:val="sr-Cyrl-BA"/>
        </w:rPr>
        <w:t>6</w:t>
      </w:r>
      <w:r w:rsidR="002B65C5" w:rsidRPr="0080434C">
        <w:rPr>
          <w:rFonts w:ascii="Arial Narrow" w:hAnsi="Arial Narrow" w:cs="Tahoma"/>
          <w:sz w:val="22"/>
          <w:lang w:val="sr-Cyrl-BA"/>
        </w:rPr>
        <w:t>4</w:t>
      </w:r>
      <w:r w:rsidRPr="0080434C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80434C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80434C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80434C">
        <w:rPr>
          <w:rFonts w:ascii="Arial Narrow" w:hAnsi="Arial Narrow" w:cs="Tahoma"/>
          <w:sz w:val="22"/>
          <w:lang w:val="sr-Cyrl-BA"/>
        </w:rPr>
        <w:t xml:space="preserve">на </w:t>
      </w:r>
      <w:r w:rsidR="002B65C5" w:rsidRPr="0080434C">
        <w:rPr>
          <w:rFonts w:ascii="Arial Narrow" w:hAnsi="Arial Narrow" w:cs="Tahoma"/>
          <w:sz w:val="22"/>
          <w:lang w:val="sr-Cyrl-BA"/>
        </w:rPr>
        <w:t>мај</w:t>
      </w:r>
      <w:r w:rsidR="006D06C7" w:rsidRPr="0080434C">
        <w:rPr>
          <w:rFonts w:ascii="Arial Narrow" w:hAnsi="Arial Narrow" w:cs="Tahoma"/>
          <w:sz w:val="22"/>
          <w:lang w:val="sr-Cyrl-BA"/>
        </w:rPr>
        <w:t xml:space="preserve"> 202</w:t>
      </w:r>
      <w:r w:rsidR="0073396A" w:rsidRPr="0080434C">
        <w:rPr>
          <w:rFonts w:ascii="Arial Narrow" w:hAnsi="Arial Narrow" w:cs="Tahoma"/>
          <w:sz w:val="22"/>
          <w:lang w:val="sr-Cyrl-BA"/>
        </w:rPr>
        <w:t>5</w:t>
      </w:r>
      <w:r w:rsidR="002D34BC" w:rsidRPr="0080434C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80434C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80434C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80434C">
        <w:rPr>
          <w:rFonts w:ascii="Arial Narrow" w:hAnsi="Arial Narrow" w:cs="Tahoma"/>
          <w:sz w:val="22"/>
          <w:lang w:val="sr-Cyrl-BA"/>
        </w:rPr>
        <w:t xml:space="preserve">је </w:t>
      </w:r>
      <w:r w:rsidR="00B72D35" w:rsidRPr="0080434C">
        <w:rPr>
          <w:rFonts w:ascii="Arial Narrow" w:hAnsi="Arial Narrow" w:cs="Tahoma"/>
          <w:sz w:val="22"/>
          <w:lang w:val="sr-Cyrl-BA"/>
        </w:rPr>
        <w:t>већа</w:t>
      </w:r>
      <w:r w:rsidR="00A7258C" w:rsidRPr="0080434C">
        <w:rPr>
          <w:rFonts w:ascii="Arial Narrow" w:hAnsi="Arial Narrow" w:cs="Tahoma"/>
          <w:sz w:val="22"/>
          <w:lang w:val="sr-Cyrl-BA"/>
        </w:rPr>
        <w:t xml:space="preserve"> за </w:t>
      </w:r>
      <w:r w:rsidR="002B65C5" w:rsidRPr="0080434C">
        <w:rPr>
          <w:rFonts w:ascii="Arial Narrow" w:hAnsi="Arial Narrow" w:cs="Tahoma"/>
          <w:sz w:val="22"/>
          <w:lang w:val="sr-Cyrl-BA"/>
        </w:rPr>
        <w:t>1</w:t>
      </w:r>
      <w:r w:rsidR="00A7258C" w:rsidRPr="0080434C">
        <w:rPr>
          <w:rFonts w:ascii="Arial Narrow" w:hAnsi="Arial Narrow" w:cs="Tahoma"/>
          <w:sz w:val="22"/>
          <w:lang w:val="sr-Cyrl-BA"/>
        </w:rPr>
        <w:t>,</w:t>
      </w:r>
      <w:r w:rsidR="002B65C5" w:rsidRPr="0080434C">
        <w:rPr>
          <w:rFonts w:ascii="Arial Narrow" w:hAnsi="Arial Narrow" w:cs="Tahoma"/>
          <w:sz w:val="22"/>
          <w:lang w:val="sr-Cyrl-BA"/>
        </w:rPr>
        <w:t>0</w:t>
      </w:r>
      <w:r w:rsidR="00A7258C" w:rsidRPr="0080434C">
        <w:rPr>
          <w:rFonts w:ascii="Arial Narrow" w:hAnsi="Arial Narrow" w:cs="Tahoma"/>
          <w:sz w:val="22"/>
          <w:lang w:val="sr-Cyrl-BA"/>
        </w:rPr>
        <w:t>%,</w:t>
      </w:r>
      <w:r w:rsidR="009471E4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80434C">
        <w:rPr>
          <w:rFonts w:ascii="Arial Narrow" w:hAnsi="Arial Narrow" w:cs="Tahoma"/>
          <w:sz w:val="22"/>
          <w:lang w:val="sr-Latn-BA"/>
        </w:rPr>
        <w:t>a</w:t>
      </w:r>
      <w:r w:rsidR="000A4E38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80434C">
        <w:rPr>
          <w:rFonts w:ascii="Arial Narrow" w:hAnsi="Arial Narrow" w:cs="Tahoma"/>
          <w:sz w:val="22"/>
          <w:lang w:val="sr-Cyrl-BA"/>
        </w:rPr>
        <w:t>реално</w:t>
      </w:r>
      <w:r w:rsidR="000A4E38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3554C8" w:rsidRPr="0080434C">
        <w:rPr>
          <w:rFonts w:ascii="Arial Narrow" w:hAnsi="Arial Narrow" w:cs="Tahoma"/>
          <w:sz w:val="22"/>
          <w:lang w:val="sr-Cyrl-BA"/>
        </w:rPr>
        <w:t xml:space="preserve">за </w:t>
      </w:r>
      <w:r w:rsidR="002B65C5" w:rsidRPr="0080434C">
        <w:rPr>
          <w:rFonts w:ascii="Arial Narrow" w:hAnsi="Arial Narrow" w:cs="Tahoma"/>
          <w:sz w:val="22"/>
          <w:lang w:val="sr-Cyrl-BA"/>
        </w:rPr>
        <w:t>0</w:t>
      </w:r>
      <w:r w:rsidR="003554C8" w:rsidRPr="0080434C">
        <w:rPr>
          <w:rFonts w:ascii="Arial Narrow" w:hAnsi="Arial Narrow" w:cs="Tahoma"/>
          <w:sz w:val="22"/>
          <w:lang w:val="sr-Cyrl-BA"/>
        </w:rPr>
        <w:t>,</w:t>
      </w:r>
      <w:r w:rsidR="002B65C5" w:rsidRPr="0080434C">
        <w:rPr>
          <w:rFonts w:ascii="Arial Narrow" w:hAnsi="Arial Narrow" w:cs="Tahoma"/>
          <w:sz w:val="22"/>
          <w:lang w:val="sr-Cyrl-BA"/>
        </w:rPr>
        <w:t>9</w:t>
      </w:r>
      <w:r w:rsidR="003554C8" w:rsidRPr="0080434C">
        <w:rPr>
          <w:rFonts w:ascii="Arial Narrow" w:hAnsi="Arial Narrow" w:cs="Tahoma"/>
          <w:sz w:val="22"/>
          <w:lang w:val="sr-Cyrl-BA"/>
        </w:rPr>
        <w:t>%,</w:t>
      </w:r>
      <w:r w:rsidR="000A4E38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80434C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80434C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80434C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2B65C5" w:rsidRPr="0080434C">
        <w:rPr>
          <w:rFonts w:ascii="Arial Narrow" w:hAnsi="Arial Narrow" w:cs="Tahoma"/>
          <w:sz w:val="22"/>
          <w:lang w:val="sr-Cyrl-BA"/>
        </w:rPr>
        <w:t>9</w:t>
      </w:r>
      <w:r w:rsidR="0070074E" w:rsidRPr="0080434C">
        <w:rPr>
          <w:rFonts w:ascii="Arial Narrow" w:hAnsi="Arial Narrow" w:cs="Tahoma"/>
          <w:sz w:val="22"/>
          <w:lang w:val="sr-Cyrl-BA"/>
        </w:rPr>
        <w:t>,</w:t>
      </w:r>
      <w:r w:rsidR="002B65C5" w:rsidRPr="0080434C">
        <w:rPr>
          <w:rFonts w:ascii="Arial Narrow" w:hAnsi="Arial Narrow" w:cs="Tahoma"/>
          <w:sz w:val="22"/>
          <w:lang w:val="sr-Cyrl-BA"/>
        </w:rPr>
        <w:t>7</w:t>
      </w:r>
      <w:r w:rsidR="0070074E" w:rsidRPr="0080434C">
        <w:rPr>
          <w:rFonts w:ascii="Arial Narrow" w:hAnsi="Arial Narrow" w:cs="Tahoma"/>
          <w:sz w:val="22"/>
          <w:lang w:val="sr-Cyrl-BA"/>
        </w:rPr>
        <w:t>%</w:t>
      </w:r>
      <w:r w:rsidR="005527E2" w:rsidRPr="0080434C">
        <w:rPr>
          <w:rFonts w:ascii="Arial Narrow" w:hAnsi="Arial Narrow" w:cs="Tahoma"/>
          <w:sz w:val="22"/>
          <w:lang w:val="sr-Cyrl-BA"/>
        </w:rPr>
        <w:t>,</w:t>
      </w:r>
      <w:r w:rsidR="006D06C7" w:rsidRPr="0080434C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B65C5" w:rsidRPr="0080434C">
        <w:rPr>
          <w:rFonts w:ascii="Arial Narrow" w:hAnsi="Arial Narrow" w:cs="Tahoma"/>
          <w:sz w:val="22"/>
          <w:lang w:val="sr-Cyrl-BA"/>
        </w:rPr>
        <w:t>4</w:t>
      </w:r>
      <w:r w:rsidR="006D06C7" w:rsidRPr="0080434C">
        <w:rPr>
          <w:rFonts w:ascii="Arial Narrow" w:hAnsi="Arial Narrow" w:cs="Tahoma"/>
          <w:sz w:val="22"/>
          <w:lang w:val="sr-Cyrl-BA"/>
        </w:rPr>
        <w:t>,</w:t>
      </w:r>
      <w:r w:rsidR="002B65C5" w:rsidRPr="0080434C">
        <w:rPr>
          <w:rFonts w:ascii="Arial Narrow" w:hAnsi="Arial Narrow" w:cs="Tahoma"/>
          <w:sz w:val="22"/>
          <w:lang w:val="sr-Cyrl-BA"/>
        </w:rPr>
        <w:t>8</w:t>
      </w:r>
      <w:r w:rsidR="006D06C7" w:rsidRPr="0080434C">
        <w:rPr>
          <w:rFonts w:ascii="Arial Narrow" w:hAnsi="Arial Narrow" w:cs="Tahoma"/>
          <w:sz w:val="22"/>
          <w:lang w:val="sr-Cyrl-BA"/>
        </w:rPr>
        <w:t>%</w:t>
      </w:r>
      <w:r w:rsidR="00B02167" w:rsidRPr="0080434C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80434C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80434C">
        <w:rPr>
          <w:rFonts w:ascii="Arial Narrow" w:hAnsi="Arial Narrow" w:cs="Tahoma"/>
          <w:sz w:val="22"/>
          <w:lang w:val="ru-RU"/>
        </w:rPr>
        <w:t xml:space="preserve"> </w:t>
      </w:r>
      <w:r w:rsidR="004D737B" w:rsidRPr="0080434C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80434C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80434C">
        <w:rPr>
          <w:rFonts w:ascii="Arial Narrow" w:hAnsi="Arial Narrow" w:cs="Tahoma"/>
          <w:sz w:val="22"/>
          <w:lang w:val="sr-Latn-BA"/>
        </w:rPr>
        <w:t>2</w:t>
      </w:r>
      <w:r w:rsidR="00D11D67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2B65C5" w:rsidRPr="0080434C">
        <w:rPr>
          <w:rFonts w:ascii="Arial Narrow" w:hAnsi="Arial Narrow" w:cs="Tahoma"/>
          <w:sz w:val="22"/>
          <w:lang w:val="sr-Cyrl-CS"/>
        </w:rPr>
        <w:t>406</w:t>
      </w:r>
      <w:r w:rsidR="004D737B" w:rsidRPr="0080434C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80434C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80434C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80434C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80434C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B65C5" w:rsidRPr="0080434C">
        <w:rPr>
          <w:rFonts w:ascii="Arial Narrow" w:hAnsi="Arial Narrow" w:cs="Tahoma"/>
          <w:sz w:val="22"/>
          <w:lang w:val="sr-Cyrl-BA"/>
        </w:rPr>
        <w:t>јуну</w:t>
      </w:r>
      <w:r w:rsidR="009D2C0B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20</w:t>
      </w:r>
      <w:r w:rsidR="006C1526" w:rsidRPr="0080434C">
        <w:rPr>
          <w:rFonts w:ascii="Arial Narrow" w:hAnsi="Arial Narrow" w:cs="Tahoma"/>
          <w:sz w:val="22"/>
          <w:lang w:val="sr-Cyrl-CS"/>
        </w:rPr>
        <w:t>2</w:t>
      </w:r>
      <w:r w:rsidR="0073396A" w:rsidRPr="0080434C">
        <w:rPr>
          <w:rFonts w:ascii="Arial Narrow" w:hAnsi="Arial Narrow" w:cs="Tahoma"/>
          <w:sz w:val="22"/>
          <w:lang w:val="sr-Cyrl-CS"/>
        </w:rPr>
        <w:t>5</w:t>
      </w:r>
      <w:r w:rsidRPr="0080434C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80434C">
        <w:rPr>
          <w:rFonts w:ascii="Arial Narrow" w:hAnsi="Arial Narrow" w:cs="Tahoma"/>
          <w:sz w:val="22"/>
          <w:lang w:val="sr-Cyrl-CS"/>
        </w:rPr>
        <w:t xml:space="preserve">нето </w:t>
      </w:r>
      <w:r w:rsidRPr="0080434C">
        <w:rPr>
          <w:rFonts w:ascii="Arial Narrow" w:hAnsi="Arial Narrow" w:cs="Tahoma"/>
          <w:sz w:val="22"/>
          <w:lang w:val="sr-Cyrl-CS"/>
        </w:rPr>
        <w:t>плата</w:t>
      </w:r>
      <w:r w:rsidR="00667CDB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80434C">
        <w:rPr>
          <w:rFonts w:ascii="Arial Narrow" w:hAnsi="Arial Narrow" w:cs="Tahoma"/>
          <w:sz w:val="22"/>
          <w:lang w:val="sr-Latn-BA"/>
        </w:rPr>
        <w:t xml:space="preserve"> </w:t>
      </w:r>
      <w:r w:rsidR="002B65C5" w:rsidRPr="0080434C">
        <w:rPr>
          <w:rFonts w:ascii="Arial Narrow" w:hAnsi="Arial Narrow" w:cs="Tahoma"/>
          <w:i/>
          <w:sz w:val="22"/>
          <w:szCs w:val="22"/>
          <w:lang w:val="ru-RU"/>
        </w:rPr>
        <w:t xml:space="preserve">Вађење руда и камена </w:t>
      </w:r>
      <w:r w:rsidRPr="0080434C">
        <w:rPr>
          <w:rFonts w:ascii="Arial Narrow" w:hAnsi="Arial Narrow" w:cs="Tahoma"/>
          <w:sz w:val="22"/>
          <w:lang w:val="sr-Cyrl-CS"/>
        </w:rPr>
        <w:t>и износи</w:t>
      </w:r>
      <w:r w:rsidR="00F6529E" w:rsidRPr="0080434C">
        <w:rPr>
          <w:rFonts w:ascii="Arial Narrow" w:hAnsi="Arial Narrow" w:cs="Tahoma"/>
          <w:sz w:val="22"/>
          <w:lang w:val="sr-Cyrl-CS"/>
        </w:rPr>
        <w:t>ла је</w:t>
      </w:r>
      <w:r w:rsidR="001A034E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3554C8" w:rsidRPr="0080434C">
        <w:rPr>
          <w:rFonts w:ascii="Arial Narrow" w:hAnsi="Arial Narrow" w:cs="Tahoma"/>
          <w:sz w:val="22"/>
          <w:lang w:val="sr-Cyrl-CS"/>
        </w:rPr>
        <w:t>1</w:t>
      </w:r>
      <w:r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B72D35" w:rsidRPr="0080434C">
        <w:rPr>
          <w:rFonts w:ascii="Arial Narrow" w:hAnsi="Arial Narrow" w:cs="Tahoma"/>
          <w:sz w:val="22"/>
          <w:lang w:val="sr-Cyrl-CS"/>
        </w:rPr>
        <w:t>9</w:t>
      </w:r>
      <w:r w:rsidR="002B65C5" w:rsidRPr="0080434C">
        <w:rPr>
          <w:rFonts w:ascii="Arial Narrow" w:hAnsi="Arial Narrow" w:cs="Tahoma"/>
          <w:sz w:val="22"/>
          <w:lang w:val="sr-Cyrl-CS"/>
        </w:rPr>
        <w:t>46</w:t>
      </w:r>
      <w:r w:rsidRPr="0080434C">
        <w:rPr>
          <w:rFonts w:ascii="Arial Narrow" w:hAnsi="Arial Narrow" w:cs="Tahoma"/>
          <w:sz w:val="22"/>
          <w:lang w:val="sr-Cyrl-CS"/>
        </w:rPr>
        <w:t xml:space="preserve"> КМ</w:t>
      </w:r>
      <w:r w:rsidRPr="0080434C">
        <w:rPr>
          <w:rFonts w:ascii="Arial Narrow" w:hAnsi="Arial Narrow" w:cs="Tahoma"/>
          <w:sz w:val="22"/>
          <w:lang w:val="sr-Latn-CS"/>
        </w:rPr>
        <w:t>,</w:t>
      </w:r>
      <w:r w:rsidR="003C37BB" w:rsidRPr="0080434C">
        <w:rPr>
          <w:rFonts w:ascii="Arial Narrow" w:hAnsi="Arial Narrow" w:cs="Tahoma"/>
          <w:sz w:val="22"/>
          <w:lang w:val="sr-Cyrl-BA"/>
        </w:rPr>
        <w:t xml:space="preserve"> а</w:t>
      </w:r>
      <w:r w:rsidRPr="0080434C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80434C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80434C">
        <w:rPr>
          <w:rFonts w:ascii="Arial Narrow" w:hAnsi="Arial Narrow" w:cs="Tahoma"/>
          <w:sz w:val="22"/>
          <w:lang w:val="sr-Cyrl-CS"/>
        </w:rPr>
        <w:t xml:space="preserve">нето </w:t>
      </w:r>
      <w:r w:rsidRPr="0080434C">
        <w:rPr>
          <w:rFonts w:ascii="Arial Narrow" w:hAnsi="Arial Narrow" w:cs="Tahoma"/>
          <w:sz w:val="22"/>
          <w:lang w:val="sr-Cyrl-CS"/>
        </w:rPr>
        <w:t>плата</w:t>
      </w:r>
      <w:r w:rsidR="00667CDB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 xml:space="preserve">у </w:t>
      </w:r>
      <w:r w:rsidR="002B65C5" w:rsidRPr="0080434C">
        <w:rPr>
          <w:rFonts w:ascii="Arial Narrow" w:hAnsi="Arial Narrow" w:cs="Tahoma"/>
          <w:sz w:val="22"/>
          <w:lang w:val="sr-Cyrl-BA"/>
        </w:rPr>
        <w:t>јуну</w:t>
      </w:r>
      <w:r w:rsidR="0073396A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20</w:t>
      </w:r>
      <w:r w:rsidR="006C1526" w:rsidRPr="0080434C">
        <w:rPr>
          <w:rFonts w:ascii="Arial Narrow" w:hAnsi="Arial Narrow" w:cs="Tahoma"/>
          <w:sz w:val="22"/>
          <w:lang w:val="sr-Cyrl-CS"/>
        </w:rPr>
        <w:t>2</w:t>
      </w:r>
      <w:r w:rsidR="0073396A" w:rsidRPr="0080434C">
        <w:rPr>
          <w:rFonts w:ascii="Arial Narrow" w:hAnsi="Arial Narrow" w:cs="Tahoma"/>
          <w:sz w:val="22"/>
          <w:lang w:val="sr-Cyrl-CS"/>
        </w:rPr>
        <w:t>5</w:t>
      </w:r>
      <w:r w:rsidRPr="0080434C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80434C">
        <w:rPr>
          <w:rFonts w:ascii="Arial Narrow" w:hAnsi="Arial Narrow" w:cs="Tahoma"/>
          <w:sz w:val="22"/>
          <w:lang w:val="sr-Cyrl-CS"/>
        </w:rPr>
        <w:t xml:space="preserve">године </w:t>
      </w:r>
      <w:r w:rsidRPr="0080434C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2C2F96" w:rsidRPr="0080434C">
        <w:rPr>
          <w:rFonts w:ascii="Arial Narrow" w:hAnsi="Arial Narrow" w:cs="Tahoma"/>
          <w:sz w:val="22"/>
          <w:lang w:val="sr-Cyrl-BA"/>
        </w:rPr>
        <w:t>у</w:t>
      </w:r>
      <w:r w:rsidR="00B72D35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2B65C5" w:rsidRPr="0080434C">
        <w:rPr>
          <w:rFonts w:ascii="Arial Narrow" w:hAnsi="Arial Narrow" w:cs="Tahoma"/>
          <w:i/>
          <w:sz w:val="22"/>
          <w:lang w:val="sr-Cyrl-BA"/>
        </w:rPr>
        <w:t>Пословање некретнинама</w:t>
      </w:r>
      <w:r w:rsidR="002C2F96" w:rsidRPr="0080434C">
        <w:rPr>
          <w:rFonts w:ascii="Arial Narrow" w:hAnsi="Arial Narrow" w:cs="Tahoma"/>
          <w:sz w:val="22"/>
          <w:lang w:val="sr-Cyrl-CS"/>
        </w:rPr>
        <w:t>,</w:t>
      </w:r>
      <w:r w:rsidR="009B65CC" w:rsidRPr="0080434C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80434C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80434C">
        <w:rPr>
          <w:rFonts w:ascii="Arial Narrow" w:hAnsi="Arial Narrow" w:cs="Tahoma"/>
          <w:sz w:val="22"/>
          <w:lang w:val="sr-Cyrl-BA"/>
        </w:rPr>
        <w:t>1</w:t>
      </w:r>
      <w:r w:rsidR="002B65C5" w:rsidRPr="0080434C">
        <w:rPr>
          <w:rFonts w:ascii="Arial Narrow" w:hAnsi="Arial Narrow" w:cs="Tahoma"/>
          <w:sz w:val="22"/>
          <w:lang w:val="sr-Cyrl-BA"/>
        </w:rPr>
        <w:t>78</w:t>
      </w:r>
      <w:r w:rsidR="00886016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>КМ.</w:t>
      </w:r>
    </w:p>
    <w:p w:rsidR="00E33D13" w:rsidRPr="0080434C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80434C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80434C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80434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2B65C5" w:rsidRPr="0080434C">
        <w:rPr>
          <w:rFonts w:ascii="Arial Narrow" w:hAnsi="Arial Narrow" w:cs="Tahoma"/>
          <w:sz w:val="22"/>
          <w:lang w:val="sr-Cyrl-BA"/>
        </w:rPr>
        <w:t>јуну</w:t>
      </w:r>
      <w:r w:rsidR="0073396A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Pr="0080434C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80434C">
        <w:rPr>
          <w:rFonts w:ascii="Arial Narrow" w:hAnsi="Arial Narrow" w:cs="Tahoma"/>
          <w:sz w:val="22"/>
          <w:szCs w:val="22"/>
          <w:lang w:val="ru-RU"/>
        </w:rPr>
        <w:t>2</w:t>
      </w:r>
      <w:r w:rsidR="0073396A" w:rsidRPr="0080434C">
        <w:rPr>
          <w:rFonts w:ascii="Arial Narrow" w:hAnsi="Arial Narrow" w:cs="Tahoma"/>
          <w:sz w:val="22"/>
          <w:szCs w:val="22"/>
          <w:lang w:val="ru-RU"/>
        </w:rPr>
        <w:t>5</w:t>
      </w:r>
      <w:r w:rsidRPr="0080434C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2B65C5" w:rsidRPr="0080434C">
        <w:rPr>
          <w:rFonts w:ascii="Arial Narrow" w:hAnsi="Arial Narrow" w:cs="Tahoma"/>
          <w:sz w:val="22"/>
          <w:lang w:val="sr-Cyrl-BA"/>
        </w:rPr>
        <w:t>јун</w:t>
      </w:r>
      <w:r w:rsidR="0073396A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80434C">
        <w:rPr>
          <w:rFonts w:ascii="Arial Narrow" w:hAnsi="Arial Narrow" w:cs="Tahoma"/>
          <w:sz w:val="22"/>
          <w:szCs w:val="22"/>
          <w:lang w:val="ru-RU"/>
        </w:rPr>
        <w:t>202</w:t>
      </w:r>
      <w:r w:rsidR="0073396A" w:rsidRPr="0080434C">
        <w:rPr>
          <w:rFonts w:ascii="Arial Narrow" w:hAnsi="Arial Narrow" w:cs="Tahoma"/>
          <w:sz w:val="22"/>
          <w:szCs w:val="22"/>
          <w:lang w:val="ru-RU"/>
        </w:rPr>
        <w:t>4</w:t>
      </w:r>
      <w:r w:rsidRPr="0080434C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80434C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80434C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80434C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80434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80434C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2B65C5"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B65C5" w:rsidRPr="0080434C">
        <w:rPr>
          <w:rFonts w:ascii="Arial Narrow" w:hAnsi="Arial Narrow" w:cs="Tahoma"/>
          <w:sz w:val="22"/>
          <w:szCs w:val="22"/>
          <w:lang w:val="sr-Cyrl-BA"/>
        </w:rPr>
        <w:t xml:space="preserve">15,2%, </w:t>
      </w:r>
      <w:r w:rsidR="00B72D35"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Јавна управа и одбрана; обавезно социјално осигурање </w:t>
      </w:r>
      <w:r w:rsidR="0073396A" w:rsidRPr="0080434C">
        <w:rPr>
          <w:rFonts w:ascii="Arial Narrow" w:hAnsi="Arial Narrow" w:cs="Tahoma"/>
          <w:sz w:val="22"/>
          <w:szCs w:val="22"/>
          <w:lang w:val="sr-Cyrl-BA"/>
        </w:rPr>
        <w:t>1</w:t>
      </w:r>
      <w:r w:rsidR="002B65C5" w:rsidRPr="0080434C">
        <w:rPr>
          <w:rFonts w:ascii="Arial Narrow" w:hAnsi="Arial Narrow" w:cs="Tahoma"/>
          <w:sz w:val="22"/>
          <w:szCs w:val="22"/>
          <w:lang w:val="sr-Cyrl-BA"/>
        </w:rPr>
        <w:t>4</w:t>
      </w:r>
      <w:r w:rsidR="0073396A" w:rsidRPr="0080434C">
        <w:rPr>
          <w:rFonts w:ascii="Arial Narrow" w:hAnsi="Arial Narrow" w:cs="Tahoma"/>
          <w:sz w:val="22"/>
          <w:szCs w:val="22"/>
          <w:lang w:val="sr-Cyrl-BA"/>
        </w:rPr>
        <w:t>,</w:t>
      </w:r>
      <w:r w:rsidR="002B65C5" w:rsidRPr="0080434C">
        <w:rPr>
          <w:rFonts w:ascii="Arial Narrow" w:hAnsi="Arial Narrow" w:cs="Tahoma"/>
          <w:sz w:val="22"/>
          <w:szCs w:val="22"/>
          <w:lang w:val="sr-Cyrl-BA"/>
        </w:rPr>
        <w:t>8</w:t>
      </w:r>
      <w:r w:rsidR="0073396A" w:rsidRPr="0080434C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2B65C5" w:rsidRPr="0080434C">
        <w:rPr>
          <w:rFonts w:ascii="Arial Narrow" w:hAnsi="Arial Narrow" w:cs="Tahoma"/>
          <w:sz w:val="22"/>
          <w:lang w:val="sr-Cyrl-CS"/>
        </w:rPr>
        <w:t>и</w:t>
      </w:r>
      <w:r w:rsidR="002B65C5" w:rsidRPr="0080434C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B72D35" w:rsidRPr="0080434C">
        <w:rPr>
          <w:rFonts w:ascii="Arial Narrow" w:hAnsi="Arial Narrow" w:cs="Tahoma"/>
          <w:i/>
          <w:sz w:val="22"/>
          <w:szCs w:val="22"/>
          <w:lang w:val="ru-RU"/>
        </w:rPr>
        <w:t xml:space="preserve">Образовање </w:t>
      </w:r>
      <w:r w:rsidR="00B72D35" w:rsidRPr="0080434C">
        <w:rPr>
          <w:rFonts w:ascii="Arial Narrow" w:hAnsi="Arial Narrow" w:cs="Tahoma"/>
          <w:sz w:val="22"/>
          <w:szCs w:val="22"/>
          <w:lang w:val="sr-Cyrl-BA"/>
        </w:rPr>
        <w:t>13</w:t>
      </w:r>
      <w:r w:rsidR="00DC16DB" w:rsidRPr="0080434C">
        <w:rPr>
          <w:rFonts w:ascii="Arial Narrow" w:hAnsi="Arial Narrow" w:cs="Tahoma"/>
          <w:sz w:val="22"/>
          <w:lang w:val="sr-Cyrl-CS"/>
        </w:rPr>
        <w:t>,</w:t>
      </w:r>
      <w:r w:rsidR="002B65C5" w:rsidRPr="0080434C">
        <w:rPr>
          <w:rFonts w:ascii="Arial Narrow" w:hAnsi="Arial Narrow" w:cs="Tahoma"/>
          <w:sz w:val="22"/>
          <w:lang w:val="sr-Cyrl-CS"/>
        </w:rPr>
        <w:t>6</w:t>
      </w:r>
      <w:r w:rsidR="00DC16DB" w:rsidRPr="0080434C">
        <w:rPr>
          <w:rFonts w:ascii="Arial Narrow" w:hAnsi="Arial Narrow" w:cs="Tahoma"/>
          <w:sz w:val="22"/>
          <w:lang w:val="sr-Cyrl-CS"/>
        </w:rPr>
        <w:t>%</w:t>
      </w:r>
      <w:r w:rsidR="00DC16DB" w:rsidRPr="0080434C">
        <w:rPr>
          <w:rFonts w:ascii="Arial Narrow" w:hAnsi="Arial Narrow" w:cs="Tahoma"/>
          <w:sz w:val="22"/>
          <w:szCs w:val="22"/>
          <w:lang w:val="sr-Cyrl-BA"/>
        </w:rPr>
        <w:t>.</w:t>
      </w:r>
      <w:r w:rsidR="00780098"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</w:p>
    <w:p w:rsidR="00374B48" w:rsidRPr="0080434C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80434C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80434C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80434C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80434C">
        <w:rPr>
          <w:rFonts w:ascii="Tahoma" w:hAnsi="Tahoma" w:cs="Tahoma"/>
          <w:i/>
          <w:sz w:val="14"/>
          <w:lang w:val="sr-Cyrl-CS"/>
        </w:rPr>
        <w:t xml:space="preserve"> </w:t>
      </w:r>
      <w:r w:rsidRPr="0080434C">
        <w:rPr>
          <w:rFonts w:ascii="Tahoma" w:hAnsi="Tahoma" w:cs="Tahoma"/>
          <w:sz w:val="14"/>
          <w:lang w:val="sr-Cyrl-CS"/>
        </w:rPr>
        <w:t xml:space="preserve">   </w:t>
      </w:r>
      <w:r w:rsidRPr="0080434C">
        <w:rPr>
          <w:rFonts w:ascii="Tahoma" w:hAnsi="Tahoma" w:cs="Tahoma"/>
          <w:sz w:val="14"/>
          <w:lang w:val="sr-Latn-CS"/>
        </w:rPr>
        <w:tab/>
      </w:r>
      <w:r w:rsidRPr="0080434C">
        <w:rPr>
          <w:rFonts w:ascii="Tahoma" w:hAnsi="Tahoma" w:cs="Tahoma"/>
          <w:sz w:val="14"/>
          <w:lang w:val="sr-Latn-CS"/>
        </w:rPr>
        <w:tab/>
      </w:r>
      <w:r w:rsidRPr="0080434C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80434C">
        <w:rPr>
          <w:rFonts w:ascii="Tahoma" w:hAnsi="Tahoma" w:cs="Tahoma"/>
          <w:sz w:val="14"/>
          <w:lang w:val="sr-Cyrl-BA"/>
        </w:rPr>
        <w:t xml:space="preserve">  </w:t>
      </w:r>
      <w:r w:rsidR="0062701E" w:rsidRPr="0080434C">
        <w:rPr>
          <w:rFonts w:ascii="Tahoma" w:hAnsi="Tahoma" w:cs="Tahoma"/>
          <w:sz w:val="14"/>
          <w:lang w:val="sr-Cyrl-BA"/>
        </w:rPr>
        <w:t xml:space="preserve"> </w:t>
      </w:r>
      <w:r w:rsidR="00F85AAC" w:rsidRPr="0080434C">
        <w:rPr>
          <w:rFonts w:ascii="Tahoma" w:hAnsi="Tahoma" w:cs="Tahoma"/>
          <w:sz w:val="14"/>
          <w:lang w:val="sr-Cyrl-BA"/>
        </w:rPr>
        <w:t xml:space="preserve"> </w:t>
      </w:r>
      <w:r w:rsidR="00DE7AB2" w:rsidRPr="0080434C">
        <w:rPr>
          <w:rFonts w:ascii="Arial Narrow" w:hAnsi="Arial Narrow" w:cs="Tahoma"/>
          <w:sz w:val="16"/>
          <w:szCs w:val="22"/>
        </w:rPr>
        <w:t>KM</w:t>
      </w:r>
    </w:p>
    <w:p w:rsidR="00E33D13" w:rsidRPr="0080434C" w:rsidRDefault="00425891" w:rsidP="00E33D13">
      <w:pPr>
        <w:jc w:val="center"/>
        <w:rPr>
          <w:rFonts w:ascii="Tahoma" w:hAnsi="Tahoma" w:cs="Tahoma"/>
          <w:lang w:val="sr-Cyrl-BA"/>
        </w:rPr>
      </w:pPr>
      <w:r w:rsidRPr="0080434C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80434C">
        <w:rPr>
          <w:noProof/>
        </w:rPr>
        <w:t xml:space="preserve"> </w:t>
      </w:r>
      <w:r w:rsidR="00E33D13" w:rsidRPr="0080434C">
        <w:rPr>
          <w:rFonts w:ascii="Tahoma" w:hAnsi="Tahoma" w:cs="Tahoma"/>
          <w:szCs w:val="18"/>
          <w:lang w:val="sr-Cyrl-BA"/>
        </w:rPr>
        <w:t xml:space="preserve"> </w:t>
      </w:r>
      <w:r w:rsidR="008F4CFC" w:rsidRPr="0080434C">
        <w:rPr>
          <w:noProof/>
        </w:rPr>
        <w:drawing>
          <wp:inline distT="0" distB="0" distL="0" distR="0" wp14:anchorId="1BAC46D4" wp14:editId="3B25F866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80434C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80434C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80434C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80434C">
        <w:rPr>
          <w:rFonts w:ascii="Arial Narrow" w:hAnsi="Arial Narrow" w:cs="Tahoma"/>
          <w:sz w:val="16"/>
          <w:szCs w:val="22"/>
          <w:lang w:val="sr-Latn-BA"/>
        </w:rPr>
        <w:t>1</w:t>
      </w:r>
      <w:r w:rsidRPr="0080434C">
        <w:rPr>
          <w:rFonts w:ascii="Arial Narrow" w:hAnsi="Arial Narrow" w:cs="Tahoma"/>
          <w:sz w:val="16"/>
          <w:szCs w:val="22"/>
          <w:lang w:val="sr-Cyrl-CS"/>
        </w:rPr>
        <w:t>.</w:t>
      </w:r>
      <w:r w:rsidRPr="0080434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0434C">
        <w:rPr>
          <w:rFonts w:ascii="Arial Narrow" w:hAnsi="Arial Narrow" w:cs="Tahoma"/>
          <w:sz w:val="16"/>
          <w:szCs w:val="22"/>
          <w:lang w:val="sr-Cyrl-CS"/>
        </w:rPr>
        <w:t>П</w:t>
      </w:r>
      <w:r w:rsidRPr="0080434C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80434C">
        <w:rPr>
          <w:rFonts w:ascii="Arial Narrow" w:hAnsi="Arial Narrow" w:cs="Tahoma"/>
          <w:sz w:val="16"/>
          <w:szCs w:val="22"/>
        </w:rPr>
        <w:t>а</w:t>
      </w:r>
      <w:r w:rsidRPr="0080434C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80434C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80434C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80434C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80434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0434C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80434C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80434C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0434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0434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0434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0434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0434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80434C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D76C80" w:rsidRPr="0080434C" w:rsidRDefault="00D76C8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80434C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80434C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684786" w:rsidRPr="0080434C">
        <w:rPr>
          <w:rFonts w:ascii="Arial Narrow" w:hAnsi="Arial Narrow" w:cs="Tahoma"/>
          <w:b/>
          <w:sz w:val="28"/>
          <w:szCs w:val="24"/>
          <w:lang w:val="sr-Cyrl-BA"/>
        </w:rPr>
        <w:t>јун</w:t>
      </w:r>
      <w:r w:rsidR="00A32928" w:rsidRPr="0080434C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F67DB9" w:rsidRPr="0080434C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80434C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684786" w:rsidRPr="0080434C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80434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80434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80434C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E423F" w:rsidRPr="0080434C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684786" w:rsidRPr="0080434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80434C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Pr="0080434C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E423F" w:rsidRPr="0080434C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684786" w:rsidRPr="0080434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F67DB9" w:rsidRPr="0080434C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="00C679AA" w:rsidRPr="0080434C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684786" w:rsidRPr="0080434C">
        <w:rPr>
          <w:rFonts w:ascii="Arial Narrow" w:hAnsi="Arial Narrow" w:cs="Tahoma"/>
          <w:b/>
          <w:sz w:val="28"/>
          <w:szCs w:val="24"/>
          <w:lang w:val="sr-Cyrl-BA"/>
        </w:rPr>
        <w:t>4,7</w:t>
      </w:r>
      <w:r w:rsidRPr="0080434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80434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9E423F" w:rsidRPr="0080434C" w:rsidRDefault="00C679AA" w:rsidP="00C66D57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80434C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684786" w:rsidRPr="0080434C">
        <w:rPr>
          <w:rFonts w:ascii="Arial Narrow" w:hAnsi="Arial Narrow" w:cs="Tahoma"/>
          <w:sz w:val="22"/>
          <w:szCs w:val="22"/>
          <w:lang w:val="sr-Cyrl-BA"/>
        </w:rPr>
        <w:t>јун</w:t>
      </w:r>
      <w:r w:rsidR="00A32928" w:rsidRPr="0080434C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80434C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F67DB9" w:rsidRPr="0080434C">
        <w:rPr>
          <w:rFonts w:ascii="Arial Narrow" w:hAnsi="Arial Narrow" w:cs="Tahoma"/>
          <w:sz w:val="22"/>
          <w:szCs w:val="22"/>
          <w:lang w:val="sr-Latn-BA"/>
        </w:rPr>
        <w:t>5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80434C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80434C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684786" w:rsidRPr="0080434C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0,1</w:t>
      </w:r>
      <w:r w:rsidR="00AA501E" w:rsidRPr="0080434C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80434C">
        <w:rPr>
          <w:rFonts w:ascii="Arial Narrow" w:hAnsi="Arial Narrow" w:cs="Tahoma"/>
          <w:sz w:val="22"/>
          <w:szCs w:val="22"/>
          <w:lang w:val="sr-Cyrl-BA"/>
        </w:rPr>
        <w:t>,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80434C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80434C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684786" w:rsidRPr="0080434C">
        <w:rPr>
          <w:rFonts w:ascii="Arial Narrow" w:hAnsi="Arial Narrow" w:cs="Tahoma"/>
          <w:sz w:val="22"/>
          <w:szCs w:val="22"/>
          <w:lang w:val="sr-Cyrl-BA"/>
        </w:rPr>
        <w:t xml:space="preserve"> више за 4,7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80434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9E423F" w:rsidRPr="0080434C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7900E6" w:rsidRPr="0080434C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9E423F" w:rsidRPr="0080434C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девет, ниже цијене у два, док су</w:t>
      </w:r>
      <w:r w:rsidR="00977659" w:rsidRPr="0080434C">
        <w:rPr>
          <w:rFonts w:ascii="Arial Narrow" w:hAnsi="Arial Narrow" w:cs="Tahoma"/>
          <w:sz w:val="22"/>
          <w:szCs w:val="22"/>
          <w:lang w:val="sr-Cyrl-BA"/>
        </w:rPr>
        <w:t xml:space="preserve"> цијене</w:t>
      </w:r>
      <w:r w:rsidR="009E423F" w:rsidRPr="0080434C">
        <w:rPr>
          <w:rFonts w:ascii="Arial Narrow" w:hAnsi="Arial Narrow" w:cs="Tahoma"/>
          <w:sz w:val="22"/>
          <w:szCs w:val="22"/>
          <w:lang w:val="sr-Cyrl-BA"/>
        </w:rPr>
        <w:t xml:space="preserve"> у једном одјељку остале на истом нивоу. </w:t>
      </w:r>
    </w:p>
    <w:p w:rsidR="00684786" w:rsidRPr="0080434C" w:rsidRDefault="00684786" w:rsidP="00684786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0434C">
        <w:rPr>
          <w:rFonts w:ascii="Arial Narrow" w:hAnsi="Arial Narrow" w:cs="Tahoma"/>
          <w:sz w:val="22"/>
          <w:szCs w:val="22"/>
          <w:lang w:val="sr-Cyrl-BA"/>
        </w:rPr>
        <w:t>Највећи годишњи раст цијена у јуну 2025. године, забиљежен је у одјељку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10,5%, усљед </w:t>
      </w:r>
      <w:r w:rsidR="001E3134" w:rsidRPr="0080434C">
        <w:rPr>
          <w:rFonts w:ascii="Arial Narrow" w:hAnsi="Arial Narrow" w:cs="Tahoma"/>
          <w:sz w:val="22"/>
          <w:szCs w:val="22"/>
          <w:lang w:val="sr-Cyrl-BA"/>
        </w:rPr>
        <w:t>раста</w:t>
      </w:r>
      <w:r w:rsidR="00F53CF6" w:rsidRPr="0080434C">
        <w:rPr>
          <w:rFonts w:ascii="Arial Narrow" w:hAnsi="Arial Narrow" w:cs="Tahoma"/>
          <w:sz w:val="22"/>
          <w:szCs w:val="22"/>
          <w:lang w:val="sr-Cyrl-BA"/>
        </w:rPr>
        <w:t xml:space="preserve"> цијена у групама Бе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залкохолна пића од 51,1%, Воће од 19,3% и Уља и масноће од 13,8%, затим у одјељку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80434C">
        <w:rPr>
          <w:rFonts w:ascii="Arial Narrow" w:hAnsi="Arial Narrow" w:cs="Tahoma"/>
          <w:iCs/>
          <w:sz w:val="22"/>
          <w:szCs w:val="22"/>
          <w:lang w:val="sr-Cyrl-BA"/>
        </w:rPr>
        <w:t xml:space="preserve"> 8,7%,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Медицинске услуге од 37,9%, потом у одјељку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7,2%, због повећања цијена у групи Храна и пиће у угоститељским објектима од </w:t>
      </w:r>
      <w:r w:rsidRPr="0080434C">
        <w:rPr>
          <w:rFonts w:ascii="Arial Narrow" w:hAnsi="Arial Narrow" w:cs="Tahoma"/>
          <w:sz w:val="22"/>
          <w:szCs w:val="22"/>
        </w:rPr>
        <w:t>8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,4%.</w:t>
      </w:r>
    </w:p>
    <w:p w:rsidR="00684786" w:rsidRPr="0080434C" w:rsidRDefault="00684786" w:rsidP="00684786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са процентом повећања од </w:t>
      </w:r>
      <w:r w:rsidRPr="0080434C">
        <w:rPr>
          <w:rFonts w:ascii="Arial Narrow" w:hAnsi="Arial Narrow" w:cs="Tahoma"/>
          <w:iCs/>
          <w:sz w:val="22"/>
          <w:szCs w:val="22"/>
          <w:lang w:val="sr-Cyrl-BA"/>
        </w:rPr>
        <w:t xml:space="preserve">5,8%, усљед виших цијена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у групи Услуге за рекреацију и спорт од 12,9%, затим одјељак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4,2%, због поскупљења у групи Услуге личне хигијене од 12,5%, потом одјељак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са растом од 3,6%, усљед виших цијена у групи Дуван од 5,5%.</w:t>
      </w:r>
    </w:p>
    <w:p w:rsidR="00684786" w:rsidRPr="0080434C" w:rsidRDefault="00684786" w:rsidP="0068478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0434C">
        <w:rPr>
          <w:rFonts w:ascii="Arial Narrow" w:hAnsi="Arial Narrow" w:cs="Tahoma"/>
          <w:sz w:val="22"/>
          <w:szCs w:val="22"/>
          <w:lang w:val="sr-Cyrl-BA"/>
        </w:rPr>
        <w:t>Раст цијена од 2,8% забиљежен је у одјељку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у групи Предшколско образовање од 10,8%, слиједи одјељак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са повећањем од 1,9%, усљед виших цијена у групи Остале услуге везане за стамбене јединице од 9,6%,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док је повећање од 1,5% забиљежено је у одјељку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Намјештај и покућство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због поскупљења у групи Теписи и др. подне простирке од 3,2%. У одјељку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цијене су остале на истом нивоу.</w:t>
      </w:r>
    </w:p>
    <w:p w:rsidR="00684786" w:rsidRPr="0080434C" w:rsidRDefault="00684786" w:rsidP="0068478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84786" w:rsidRPr="0080434C" w:rsidRDefault="00684786" w:rsidP="00684786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јуну 2025. године, забиљежене су у одјељку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4,6%, усљед смањења цијена у групи Горива и мазива од 11,1% и у одјељку </w:t>
      </w:r>
      <w:r w:rsidRPr="0080434C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2,7%, усљед сезонских снижења конфекције и обуће током године.</w:t>
      </w:r>
    </w:p>
    <w:p w:rsidR="00502006" w:rsidRPr="0080434C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80434C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0434C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80434C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80434C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80434C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0434C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80434C">
        <w:rPr>
          <w:rFonts w:ascii="Arial Narrow" w:hAnsi="Arial Narrow" w:cs="Tahoma"/>
          <w:sz w:val="16"/>
          <w:szCs w:val="16"/>
          <w:lang w:val="sr-Cyrl-BA"/>
        </w:rPr>
        <w:t>2</w:t>
      </w:r>
      <w:r w:rsidRPr="0080434C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502006" w:rsidRPr="0080434C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80434C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80434C" w:rsidRDefault="00BC2444" w:rsidP="00502006">
      <w:pPr>
        <w:rPr>
          <w:sz w:val="16"/>
          <w:szCs w:val="16"/>
        </w:rPr>
      </w:pPr>
    </w:p>
    <w:p w:rsidR="00597FD3" w:rsidRPr="0080434C" w:rsidRDefault="00597FD3" w:rsidP="00502006">
      <w:pPr>
        <w:rPr>
          <w:sz w:val="16"/>
          <w:szCs w:val="16"/>
        </w:rPr>
      </w:pPr>
    </w:p>
    <w:p w:rsidR="00597FD3" w:rsidRPr="0080434C" w:rsidRDefault="00597FD3" w:rsidP="00502006">
      <w:pPr>
        <w:rPr>
          <w:sz w:val="16"/>
          <w:szCs w:val="16"/>
        </w:rPr>
      </w:pPr>
    </w:p>
    <w:p w:rsidR="00431565" w:rsidRPr="0080434C" w:rsidRDefault="00431565" w:rsidP="00502006">
      <w:pPr>
        <w:rPr>
          <w:sz w:val="16"/>
          <w:szCs w:val="16"/>
        </w:rPr>
      </w:pPr>
    </w:p>
    <w:p w:rsidR="009073B0" w:rsidRPr="0080434C" w:rsidRDefault="009073B0" w:rsidP="00502006">
      <w:pPr>
        <w:rPr>
          <w:sz w:val="16"/>
          <w:szCs w:val="16"/>
        </w:rPr>
      </w:pPr>
    </w:p>
    <w:p w:rsidR="00431565" w:rsidRPr="0080434C" w:rsidRDefault="00431565" w:rsidP="00502006">
      <w:pPr>
        <w:rPr>
          <w:sz w:val="16"/>
          <w:szCs w:val="16"/>
        </w:rPr>
      </w:pPr>
    </w:p>
    <w:p w:rsidR="0089271E" w:rsidRPr="0080434C" w:rsidRDefault="0089271E" w:rsidP="00502006">
      <w:pPr>
        <w:rPr>
          <w:sz w:val="16"/>
          <w:szCs w:val="16"/>
        </w:rPr>
      </w:pPr>
    </w:p>
    <w:p w:rsidR="0089271E" w:rsidRPr="0080434C" w:rsidRDefault="0089271E" w:rsidP="00502006">
      <w:pPr>
        <w:rPr>
          <w:sz w:val="16"/>
          <w:szCs w:val="16"/>
        </w:rPr>
      </w:pPr>
    </w:p>
    <w:p w:rsidR="00597FD3" w:rsidRPr="0080434C" w:rsidRDefault="00597FD3" w:rsidP="00502006">
      <w:pPr>
        <w:rPr>
          <w:sz w:val="16"/>
          <w:szCs w:val="16"/>
        </w:rPr>
      </w:pPr>
    </w:p>
    <w:p w:rsidR="00D3414D" w:rsidRPr="0080434C" w:rsidRDefault="00D3414D" w:rsidP="00502006">
      <w:pPr>
        <w:rPr>
          <w:sz w:val="16"/>
          <w:szCs w:val="16"/>
          <w:lang w:val="en-GB"/>
        </w:rPr>
      </w:pPr>
    </w:p>
    <w:p w:rsidR="00C62E40" w:rsidRPr="0080434C" w:rsidRDefault="00C62E40" w:rsidP="00502006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80434C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>Десезонирана индустријска производња (VI 2025/V 202</w:t>
      </w:r>
      <w:r w:rsidRPr="0080434C">
        <w:rPr>
          <w:rFonts w:ascii="Arial Narrow" w:hAnsi="Arial Narrow" w:cs="Tahoma"/>
          <w:b/>
          <w:bCs/>
          <w:sz w:val="28"/>
          <w:szCs w:val="30"/>
          <w:lang w:val="sr-Latn-BA"/>
        </w:rPr>
        <w:t>5</w:t>
      </w:r>
      <w:r w:rsidRPr="0080434C">
        <w:rPr>
          <w:rFonts w:ascii="Arial Narrow" w:hAnsi="Arial Narrow" w:cs="Tahoma"/>
          <w:b/>
          <w:bCs/>
          <w:sz w:val="28"/>
          <w:szCs w:val="30"/>
          <w:lang w:val="sr-Cyrl-CS"/>
        </w:rPr>
        <w:t>) већа је за 9,8%.</w:t>
      </w:r>
    </w:p>
    <w:p w:rsidR="00214FDD" w:rsidRPr="0080434C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D704D6" w:rsidRDefault="00D04B83" w:rsidP="00021D55">
      <w:pPr>
        <w:jc w:val="both"/>
        <w:rPr>
          <w:rFonts w:ascii="Arial Narrow" w:hAnsi="Arial Narrow" w:cs="Tahoma"/>
          <w:sz w:val="22"/>
          <w:lang w:val="sr-Cyrl-BA"/>
        </w:rPr>
      </w:pPr>
      <w:r w:rsidRPr="0080434C">
        <w:rPr>
          <w:rFonts w:ascii="Arial Narrow" w:hAnsi="Arial Narrow" w:cs="Tahoma"/>
          <w:sz w:val="22"/>
          <w:lang w:val="sr-Cyrl-BA"/>
        </w:rPr>
        <w:t>Д</w:t>
      </w:r>
      <w:r w:rsidRPr="0080434C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80434C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157409" w:rsidRPr="0080434C">
        <w:rPr>
          <w:rFonts w:ascii="Arial Narrow" w:hAnsi="Arial Narrow" w:cs="Tahoma"/>
          <w:spacing w:val="-2"/>
          <w:sz w:val="22"/>
          <w:lang w:val="sr-Cyrl-BA"/>
        </w:rPr>
        <w:t>јуну</w:t>
      </w:r>
      <w:r w:rsidRPr="0080434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>202</w:t>
      </w:r>
      <w:r w:rsidR="00A3446D" w:rsidRPr="0080434C">
        <w:rPr>
          <w:rFonts w:ascii="Arial Narrow" w:hAnsi="Arial Narrow" w:cs="Tahoma"/>
          <w:sz w:val="22"/>
          <w:lang w:val="sr-Cyrl-BA"/>
        </w:rPr>
        <w:t>5</w:t>
      </w:r>
      <w:r w:rsidRPr="0080434C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157409" w:rsidRPr="0080434C">
        <w:rPr>
          <w:rFonts w:ascii="Arial Narrow" w:hAnsi="Arial Narrow" w:cs="Tahoma"/>
          <w:spacing w:val="-2"/>
          <w:sz w:val="22"/>
          <w:lang w:val="sr-Cyrl-BA"/>
        </w:rPr>
        <w:t>мајем</w:t>
      </w:r>
      <w:r w:rsidRPr="0080434C">
        <w:rPr>
          <w:rFonts w:ascii="Arial Narrow" w:hAnsi="Arial Narrow" w:cs="Tahoma"/>
          <w:sz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lang w:val="ru-RU"/>
        </w:rPr>
        <w:t>202</w:t>
      </w:r>
      <w:r w:rsidR="00A3446D" w:rsidRPr="0080434C">
        <w:rPr>
          <w:rFonts w:ascii="Arial Narrow" w:hAnsi="Arial Narrow" w:cs="Tahoma"/>
          <w:sz w:val="22"/>
          <w:lang w:val="ru-RU"/>
        </w:rPr>
        <w:t>5</w:t>
      </w:r>
      <w:r w:rsidRPr="0080434C">
        <w:rPr>
          <w:rFonts w:ascii="Arial Narrow" w:hAnsi="Arial Narrow" w:cs="Tahoma"/>
          <w:sz w:val="22"/>
          <w:lang w:val="ru-RU"/>
        </w:rPr>
        <w:t>.</w:t>
      </w:r>
      <w:r w:rsidRPr="0080434C">
        <w:rPr>
          <w:rFonts w:ascii="Arial Narrow" w:hAnsi="Arial Narrow" w:cs="Tahoma"/>
          <w:sz w:val="22"/>
          <w:lang w:val="sr-Cyrl-BA"/>
        </w:rPr>
        <w:t xml:space="preserve"> године </w:t>
      </w:r>
      <w:r w:rsidR="00157409" w:rsidRPr="0080434C">
        <w:rPr>
          <w:rFonts w:ascii="Arial Narrow" w:hAnsi="Arial Narrow" w:cs="Tahoma"/>
          <w:sz w:val="22"/>
          <w:lang w:val="sr-Cyrl-BA"/>
        </w:rPr>
        <w:t>већа</w:t>
      </w:r>
      <w:r w:rsidRPr="0080434C">
        <w:rPr>
          <w:rFonts w:ascii="Arial Narrow" w:hAnsi="Arial Narrow" w:cs="Tahoma"/>
          <w:sz w:val="22"/>
          <w:lang w:val="sr-Cyrl-BA"/>
        </w:rPr>
        <w:t xml:space="preserve"> је за </w:t>
      </w:r>
      <w:r w:rsidR="00157409" w:rsidRPr="0080434C">
        <w:rPr>
          <w:rFonts w:ascii="Arial Narrow" w:hAnsi="Arial Narrow" w:cs="Tahoma"/>
          <w:sz w:val="22"/>
          <w:lang w:val="sr-Cyrl-CS"/>
        </w:rPr>
        <w:t>9</w:t>
      </w:r>
      <w:r w:rsidR="0092521A" w:rsidRPr="0080434C">
        <w:rPr>
          <w:rFonts w:ascii="Arial Narrow" w:hAnsi="Arial Narrow" w:cs="Tahoma"/>
          <w:sz w:val="22"/>
          <w:lang w:val="sr-Cyrl-CS"/>
        </w:rPr>
        <w:t>,8</w:t>
      </w:r>
      <w:r w:rsidRPr="0080434C">
        <w:rPr>
          <w:rFonts w:ascii="Arial Narrow" w:hAnsi="Arial Narrow" w:cs="Tahoma"/>
          <w:sz w:val="22"/>
          <w:lang w:val="sr-Cyrl-CS"/>
        </w:rPr>
        <w:t xml:space="preserve">%. </w:t>
      </w:r>
      <w:r w:rsidR="00D704D6" w:rsidRPr="0080434C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B77688" w:rsidRPr="0080434C">
        <w:rPr>
          <w:rFonts w:ascii="Arial Narrow" w:hAnsi="Arial Narrow" w:cs="Tahoma"/>
          <w:sz w:val="22"/>
          <w:lang w:val="sr-Cyrl-BA"/>
        </w:rPr>
        <w:t>јуну</w:t>
      </w:r>
      <w:r w:rsidR="00D704D6" w:rsidRPr="0080434C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80434C">
        <w:rPr>
          <w:rFonts w:ascii="Arial Narrow" w:hAnsi="Arial Narrow" w:cs="Tahoma"/>
          <w:sz w:val="22"/>
          <w:lang w:val="sr-Cyrl-BA"/>
        </w:rPr>
        <w:t>5</w:t>
      </w:r>
      <w:r w:rsidR="00D704D6" w:rsidRPr="0080434C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B77688" w:rsidRPr="0080434C">
        <w:rPr>
          <w:rFonts w:ascii="Arial Narrow" w:hAnsi="Arial Narrow" w:cs="Tahoma"/>
          <w:sz w:val="22"/>
          <w:lang w:val="sr-Cyrl-BA"/>
        </w:rPr>
        <w:t>јуном</w:t>
      </w:r>
      <w:r w:rsidR="00D704D6" w:rsidRPr="0080434C">
        <w:rPr>
          <w:rFonts w:ascii="Arial Narrow" w:hAnsi="Arial Narrow" w:cs="Tahoma"/>
          <w:sz w:val="22"/>
          <w:lang w:val="sr-Cyrl-BA"/>
        </w:rPr>
        <w:t xml:space="preserve"> 202</w:t>
      </w:r>
      <w:r w:rsidR="00C92276" w:rsidRPr="0080434C">
        <w:rPr>
          <w:rFonts w:ascii="Arial Narrow" w:hAnsi="Arial Narrow" w:cs="Tahoma"/>
          <w:sz w:val="22"/>
          <w:lang w:val="sr-Cyrl-BA"/>
        </w:rPr>
        <w:t>4</w:t>
      </w:r>
      <w:r w:rsidR="00D704D6" w:rsidRPr="0080434C">
        <w:rPr>
          <w:rFonts w:ascii="Arial Narrow" w:hAnsi="Arial Narrow" w:cs="Tahoma"/>
          <w:sz w:val="22"/>
          <w:lang w:val="sr-Cyrl-BA"/>
        </w:rPr>
        <w:t xml:space="preserve">. године, </w:t>
      </w:r>
      <w:r w:rsidR="00B77688" w:rsidRPr="0080434C">
        <w:rPr>
          <w:rFonts w:ascii="Arial Narrow" w:hAnsi="Arial Narrow" w:cs="Tahoma"/>
          <w:sz w:val="22"/>
          <w:lang w:val="sr-Cyrl-BA"/>
        </w:rPr>
        <w:t xml:space="preserve">већа је </w:t>
      </w:r>
      <w:r w:rsidR="00D704D6" w:rsidRPr="0080434C">
        <w:rPr>
          <w:rFonts w:ascii="Arial Narrow" w:hAnsi="Arial Narrow" w:cs="Tahoma"/>
          <w:sz w:val="22"/>
          <w:lang w:val="sr-Cyrl-BA"/>
        </w:rPr>
        <w:t xml:space="preserve">за </w:t>
      </w:r>
      <w:r w:rsidR="00B77688" w:rsidRPr="0080434C">
        <w:rPr>
          <w:rFonts w:ascii="Arial Narrow" w:hAnsi="Arial Narrow" w:cs="Tahoma"/>
          <w:sz w:val="22"/>
          <w:lang w:val="sr-Cyrl-BA"/>
        </w:rPr>
        <w:t>0</w:t>
      </w:r>
      <w:r w:rsidR="0092521A" w:rsidRPr="0080434C">
        <w:rPr>
          <w:rFonts w:ascii="Arial Narrow" w:hAnsi="Arial Narrow" w:cs="Tahoma"/>
          <w:sz w:val="22"/>
          <w:lang w:val="sr-Cyrl-BA"/>
        </w:rPr>
        <w:t>,</w:t>
      </w:r>
      <w:r w:rsidR="00B77688" w:rsidRPr="0080434C">
        <w:rPr>
          <w:rFonts w:ascii="Arial Narrow" w:hAnsi="Arial Narrow" w:cs="Tahoma"/>
          <w:sz w:val="22"/>
          <w:lang w:val="sr-Cyrl-BA"/>
        </w:rPr>
        <w:t>2</w:t>
      </w:r>
      <w:r w:rsidR="00D704D6" w:rsidRPr="0080434C">
        <w:rPr>
          <w:rFonts w:ascii="Arial Narrow" w:hAnsi="Arial Narrow" w:cs="Tahoma"/>
          <w:sz w:val="22"/>
          <w:lang w:val="sr-Cyrl-BA"/>
        </w:rPr>
        <w:t xml:space="preserve">%. </w:t>
      </w:r>
    </w:p>
    <w:p w:rsidR="0012091E" w:rsidRPr="0080434C" w:rsidRDefault="0012091E" w:rsidP="00021D55">
      <w:pPr>
        <w:jc w:val="both"/>
        <w:rPr>
          <w:rFonts w:ascii="Arial Narrow" w:hAnsi="Arial Narrow" w:cs="Tahoma"/>
          <w:sz w:val="22"/>
          <w:lang w:val="sr-Cyrl-CS"/>
        </w:rPr>
      </w:pPr>
    </w:p>
    <w:p w:rsidR="00C62E40" w:rsidRPr="0080434C" w:rsidRDefault="00C62E40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80434C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80434C">
        <w:rPr>
          <w:rFonts w:ascii="Arial Narrow" w:hAnsi="Arial Narrow" w:cs="Tahoma"/>
          <w:sz w:val="22"/>
          <w:lang w:val="sr-Cyrl-BA"/>
        </w:rPr>
        <w:t xml:space="preserve">у </w:t>
      </w:r>
      <w:r w:rsidRPr="0080434C">
        <w:rPr>
          <w:rFonts w:ascii="Arial Narrow" w:hAnsi="Arial Narrow" w:cs="Tahoma"/>
          <w:sz w:val="22"/>
          <w:lang w:val="sr-Cyrl-CS"/>
        </w:rPr>
        <w:t xml:space="preserve">периоду јануар-јун 2025. године у поређењу са </w:t>
      </w:r>
      <w:r w:rsidRPr="0080434C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80434C">
        <w:rPr>
          <w:rFonts w:ascii="Arial Narrow" w:hAnsi="Arial Narrow" w:cs="Tahoma"/>
          <w:sz w:val="22"/>
          <w:lang w:val="sr-Cyrl-CS"/>
        </w:rPr>
        <w:t xml:space="preserve">2024. године мања </w:t>
      </w:r>
      <w:r w:rsidRPr="0080434C">
        <w:rPr>
          <w:rFonts w:ascii="Arial Narrow" w:hAnsi="Arial Narrow" w:cs="Tahoma"/>
          <w:sz w:val="22"/>
          <w:lang w:val="sr-Latn-BA"/>
        </w:rPr>
        <w:t xml:space="preserve">je </w:t>
      </w:r>
      <w:r w:rsidRPr="0080434C">
        <w:rPr>
          <w:rFonts w:ascii="Arial Narrow" w:hAnsi="Arial Narrow" w:cs="Tahoma"/>
          <w:sz w:val="22"/>
          <w:lang w:val="sr-Cyrl-CS"/>
        </w:rPr>
        <w:t>за 4,3%</w:t>
      </w:r>
      <w:r w:rsidRPr="0080434C">
        <w:rPr>
          <w:rFonts w:ascii="Arial Narrow" w:hAnsi="Arial Narrow" w:cs="Tahoma"/>
          <w:sz w:val="22"/>
          <w:lang w:val="sr-Cyrl-BA"/>
        </w:rPr>
        <w:t xml:space="preserve">. </w:t>
      </w:r>
    </w:p>
    <w:p w:rsidR="00D04B83" w:rsidRPr="0080434C" w:rsidRDefault="00D04B83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316B79" w:rsidRPr="0080434C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80434C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8043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feuF&#10;TeEAAAALAQAADwAAAAAAAAAAAAAAAACe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5265A5" w:rsidRPr="0080434C">
        <w:rPr>
          <w:noProof/>
        </w:rPr>
        <w:drawing>
          <wp:inline distT="0" distB="0" distL="0" distR="0" wp14:anchorId="789AEAB4" wp14:editId="6A2AEDBB">
            <wp:extent cx="6508115" cy="2819400"/>
            <wp:effectExtent l="0" t="0" r="698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4808" w:rsidRPr="0080434C" w:rsidRDefault="00FC480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</w:p>
    <w:p w:rsidR="00E30AD8" w:rsidRPr="0080434C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80434C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80434C">
        <w:rPr>
          <w:rFonts w:ascii="Arial Narrow" w:hAnsi="Arial Narrow" w:cs="Tahoma"/>
          <w:sz w:val="16"/>
          <w:szCs w:val="16"/>
          <w:lang w:val="sr-Cyrl-BA"/>
        </w:rPr>
        <w:t>3</w:t>
      </w:r>
      <w:r w:rsidRPr="0080434C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5265A5" w:rsidRPr="0080434C">
        <w:rPr>
          <w:rFonts w:ascii="Arial Narrow" w:hAnsi="Arial Narrow" w:cs="Tahoma"/>
          <w:sz w:val="16"/>
          <w:szCs w:val="16"/>
          <w:lang w:val="sr-Cyrl-CS"/>
        </w:rPr>
        <w:t>јун</w:t>
      </w:r>
      <w:r w:rsidRPr="0080434C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80434C">
        <w:rPr>
          <w:rFonts w:ascii="Arial Narrow" w:hAnsi="Arial Narrow" w:cs="Tahoma"/>
          <w:sz w:val="16"/>
          <w:szCs w:val="16"/>
        </w:rPr>
        <w:t>21</w:t>
      </w:r>
      <w:r w:rsidRPr="0080434C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966D59" w:rsidRPr="0080434C">
        <w:rPr>
          <w:rFonts w:ascii="Arial Narrow" w:hAnsi="Arial Narrow" w:cs="Tahoma"/>
          <w:sz w:val="16"/>
          <w:szCs w:val="16"/>
          <w:lang w:val="sr-Cyrl-BA"/>
        </w:rPr>
        <w:t>јун</w:t>
      </w:r>
      <w:r w:rsidRPr="0080434C">
        <w:rPr>
          <w:rFonts w:ascii="Arial Narrow" w:hAnsi="Arial Narrow" w:cs="Tahoma"/>
          <w:sz w:val="16"/>
          <w:szCs w:val="16"/>
          <w:lang w:val="sr-Latn-CS"/>
        </w:rPr>
        <w:t xml:space="preserve"> 2025. (</w:t>
      </w:r>
      <w:r w:rsidRPr="0080434C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80434C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:rsidR="00C520F2" w:rsidRPr="0080434C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80434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80434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80434C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FC4808" w:rsidRPr="0080434C">
        <w:rPr>
          <w:rFonts w:ascii="Arial Narrow" w:hAnsi="Arial Narrow" w:cs="Tahoma"/>
          <w:b/>
          <w:sz w:val="28"/>
          <w:lang w:val="sr-Latn-BA"/>
        </w:rPr>
        <w:t>V</w:t>
      </w:r>
      <w:r w:rsidR="0078424F" w:rsidRPr="0080434C">
        <w:rPr>
          <w:rFonts w:ascii="Arial Narrow" w:hAnsi="Arial Narrow" w:cs="Tahoma"/>
          <w:b/>
          <w:sz w:val="28"/>
          <w:lang w:val="sr-Latn-BA"/>
        </w:rPr>
        <w:t>I</w:t>
      </w:r>
      <w:r w:rsidRPr="0080434C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80434C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5615E9" w:rsidRPr="0080434C">
        <w:rPr>
          <w:rFonts w:ascii="Arial Narrow" w:hAnsi="Arial Narrow" w:cs="Tahoma"/>
          <w:b/>
          <w:sz w:val="28"/>
          <w:szCs w:val="30"/>
          <w:lang w:val="sr-Cyrl-CS"/>
        </w:rPr>
        <w:t>5</w:t>
      </w:r>
      <w:r w:rsidR="006E282D" w:rsidRPr="0080434C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6F4BBD" w:rsidRPr="0080434C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80434C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80434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80434C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5615E9" w:rsidRPr="0080434C">
        <w:rPr>
          <w:rFonts w:ascii="Arial Narrow" w:hAnsi="Arial Narrow" w:cs="Tahoma"/>
          <w:b/>
          <w:bCs/>
          <w:sz w:val="28"/>
          <w:szCs w:val="30"/>
          <w:lang w:val="sr-Cyrl-BA"/>
        </w:rPr>
        <w:t>5</w:t>
      </w:r>
      <w:r w:rsidRPr="0080434C">
        <w:rPr>
          <w:rFonts w:ascii="Arial Narrow" w:hAnsi="Arial Narrow" w:cs="Tahoma"/>
          <w:b/>
          <w:sz w:val="28"/>
          <w:lang w:val="ru-RU"/>
        </w:rPr>
        <w:t>)</w:t>
      </w:r>
      <w:r w:rsidRPr="0080434C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C40E0" w:rsidRPr="0080434C">
        <w:rPr>
          <w:rFonts w:ascii="Arial Narrow" w:hAnsi="Arial Narrow" w:cs="Tahoma"/>
          <w:b/>
          <w:sz w:val="28"/>
          <w:lang w:val="sr-Cyrl-BA"/>
        </w:rPr>
        <w:t>мањи</w:t>
      </w:r>
      <w:r w:rsidRPr="0080434C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1C40E0" w:rsidRPr="0080434C">
        <w:rPr>
          <w:rFonts w:ascii="Arial Narrow" w:hAnsi="Arial Narrow" w:cs="Tahoma"/>
          <w:b/>
          <w:sz w:val="28"/>
          <w:lang w:val="sr-Cyrl-BA"/>
        </w:rPr>
        <w:t>0,</w:t>
      </w:r>
      <w:r w:rsidR="0078424F" w:rsidRPr="0080434C">
        <w:rPr>
          <w:rFonts w:ascii="Arial Narrow" w:hAnsi="Arial Narrow" w:cs="Tahoma"/>
          <w:b/>
          <w:sz w:val="28"/>
          <w:lang w:val="sr-Latn-BA"/>
        </w:rPr>
        <w:t>5</w:t>
      </w:r>
      <w:r w:rsidRPr="0080434C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80434C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80434C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80434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80434C">
        <w:rPr>
          <w:rFonts w:ascii="Arial Narrow" w:hAnsi="Arial Narrow" w:cs="Tahoma"/>
          <w:sz w:val="22"/>
          <w:lang w:val="sr-Cyrl-CS"/>
        </w:rPr>
        <w:t xml:space="preserve">у </w:t>
      </w:r>
      <w:r w:rsidR="002D43C0" w:rsidRPr="0080434C">
        <w:rPr>
          <w:rFonts w:ascii="Arial Narrow" w:hAnsi="Arial Narrow" w:cs="Tahoma"/>
          <w:sz w:val="22"/>
          <w:lang w:val="sr-Cyrl-BA"/>
        </w:rPr>
        <w:t>јуну</w:t>
      </w:r>
      <w:r w:rsidR="006F4BBD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80434C">
        <w:rPr>
          <w:rFonts w:ascii="Arial Narrow" w:hAnsi="Arial Narrow" w:cs="Tahoma"/>
          <w:sz w:val="22"/>
          <w:lang w:val="ru-RU"/>
        </w:rPr>
        <w:t>202</w:t>
      </w:r>
      <w:r w:rsidR="00727218" w:rsidRPr="0080434C">
        <w:rPr>
          <w:rFonts w:ascii="Arial Narrow" w:hAnsi="Arial Narrow" w:cs="Tahoma"/>
          <w:sz w:val="22"/>
          <w:lang w:val="ru-RU"/>
        </w:rPr>
        <w:t>5</w:t>
      </w:r>
      <w:r w:rsidR="00935795" w:rsidRPr="0080434C">
        <w:rPr>
          <w:rFonts w:ascii="Arial Narrow" w:hAnsi="Arial Narrow" w:cs="Tahoma"/>
          <w:sz w:val="22"/>
          <w:lang w:val="ru-RU"/>
        </w:rPr>
        <w:t>. године</w:t>
      </w:r>
      <w:r w:rsidRPr="0080434C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2D43C0" w:rsidRPr="0080434C">
        <w:rPr>
          <w:rFonts w:ascii="Arial Narrow" w:hAnsi="Arial Narrow" w:cs="Tahoma"/>
          <w:sz w:val="22"/>
          <w:lang w:val="sr-Cyrl-CS"/>
        </w:rPr>
        <w:t>мај</w:t>
      </w:r>
      <w:r w:rsidR="006F4BBD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80434C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1C40E0" w:rsidRPr="0080434C">
        <w:rPr>
          <w:rFonts w:ascii="Arial Narrow" w:hAnsi="Arial Narrow" w:cs="Tahoma"/>
          <w:sz w:val="22"/>
          <w:lang w:val="sr-Cyrl-CS"/>
        </w:rPr>
        <w:t>мањ</w:t>
      </w:r>
      <w:r w:rsidR="00727218" w:rsidRPr="0080434C">
        <w:rPr>
          <w:rFonts w:ascii="Arial Narrow" w:hAnsi="Arial Narrow" w:cs="Tahoma"/>
          <w:sz w:val="22"/>
          <w:lang w:val="sr-Cyrl-CS"/>
        </w:rPr>
        <w:t>и</w:t>
      </w:r>
      <w:r w:rsidR="000F566D" w:rsidRPr="0080434C">
        <w:rPr>
          <w:rFonts w:ascii="Arial Narrow" w:hAnsi="Arial Narrow" w:cs="Tahoma"/>
          <w:sz w:val="22"/>
          <w:lang w:val="sr-Cyrl-CS"/>
        </w:rPr>
        <w:t xml:space="preserve"> је за </w:t>
      </w:r>
      <w:r w:rsidR="001C40E0" w:rsidRPr="0080434C">
        <w:rPr>
          <w:rFonts w:ascii="Arial Narrow" w:hAnsi="Arial Narrow" w:cs="Tahoma"/>
          <w:sz w:val="22"/>
          <w:lang w:val="sr-Cyrl-CS"/>
        </w:rPr>
        <w:t>0,</w:t>
      </w:r>
      <w:r w:rsidR="002D43C0" w:rsidRPr="0080434C">
        <w:rPr>
          <w:rFonts w:ascii="Arial Narrow" w:hAnsi="Arial Narrow" w:cs="Tahoma"/>
          <w:sz w:val="22"/>
          <w:lang w:val="sr-Cyrl-CS"/>
        </w:rPr>
        <w:t>5</w:t>
      </w:r>
      <w:r w:rsidR="000F566D" w:rsidRPr="0080434C">
        <w:rPr>
          <w:rFonts w:ascii="Arial Narrow" w:hAnsi="Arial Narrow" w:cs="Tahoma"/>
          <w:sz w:val="22"/>
          <w:lang w:val="sr-Cyrl-CS"/>
        </w:rPr>
        <w:t>%.</w:t>
      </w:r>
      <w:r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80434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80434C">
        <w:rPr>
          <w:rFonts w:ascii="Arial Narrow" w:hAnsi="Arial Narrow" w:cs="Tahoma"/>
          <w:sz w:val="22"/>
          <w:lang w:val="ru-RU"/>
        </w:rPr>
        <w:t>у</w:t>
      </w:r>
      <w:r w:rsidR="00F30A8F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2D43C0" w:rsidRPr="0080434C">
        <w:rPr>
          <w:rFonts w:ascii="Arial Narrow" w:hAnsi="Arial Narrow" w:cs="Tahoma"/>
          <w:sz w:val="22"/>
          <w:lang w:val="sr-Cyrl-BA"/>
        </w:rPr>
        <w:t>јуну</w:t>
      </w:r>
      <w:r w:rsidR="00467F6C" w:rsidRPr="0080434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80434C">
        <w:rPr>
          <w:rFonts w:ascii="Arial Narrow" w:hAnsi="Arial Narrow" w:cs="Tahoma"/>
          <w:sz w:val="22"/>
          <w:lang w:val="ru-RU"/>
        </w:rPr>
        <w:t>20</w:t>
      </w:r>
      <w:r w:rsidR="00230603" w:rsidRPr="0080434C">
        <w:rPr>
          <w:rFonts w:ascii="Arial Narrow" w:hAnsi="Arial Narrow" w:cs="Tahoma"/>
          <w:sz w:val="22"/>
          <w:lang w:val="ru-RU"/>
        </w:rPr>
        <w:t>2</w:t>
      </w:r>
      <w:r w:rsidR="00727218" w:rsidRPr="0080434C">
        <w:rPr>
          <w:rFonts w:ascii="Arial Narrow" w:hAnsi="Arial Narrow" w:cs="Tahoma"/>
          <w:sz w:val="22"/>
          <w:lang w:val="ru-RU"/>
        </w:rPr>
        <w:t>5</w:t>
      </w:r>
      <w:r w:rsidR="0097485C" w:rsidRPr="0080434C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80434C">
        <w:rPr>
          <w:rFonts w:ascii="Arial Narrow" w:hAnsi="Arial Narrow" w:cs="Tahoma"/>
          <w:sz w:val="22"/>
          <w:lang w:val="sr-Cyrl-RS"/>
        </w:rPr>
        <w:t>г</w:t>
      </w:r>
      <w:r w:rsidR="0097485C" w:rsidRPr="0080434C">
        <w:rPr>
          <w:rFonts w:ascii="Arial Narrow" w:hAnsi="Arial Narrow" w:cs="Tahoma"/>
          <w:sz w:val="22"/>
          <w:lang w:val="ru-RU"/>
        </w:rPr>
        <w:t>одине</w:t>
      </w:r>
      <w:r w:rsidR="00DE7674" w:rsidRPr="0080434C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80434C">
        <w:rPr>
          <w:rFonts w:ascii="Arial Narrow" w:hAnsi="Arial Narrow" w:cs="Tahoma"/>
          <w:sz w:val="22"/>
          <w:lang w:val="ru-RU"/>
        </w:rPr>
        <w:t xml:space="preserve"> </w:t>
      </w:r>
      <w:r w:rsidR="00677C49" w:rsidRPr="0080434C">
        <w:rPr>
          <w:rFonts w:ascii="Arial Narrow" w:hAnsi="Arial Narrow" w:cs="Tahoma"/>
          <w:sz w:val="22"/>
          <w:lang w:val="sr-Cyrl-BA"/>
        </w:rPr>
        <w:t>односу</w:t>
      </w:r>
      <w:r w:rsidR="00FD3D89" w:rsidRPr="0080434C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80434C">
        <w:rPr>
          <w:rFonts w:ascii="Arial Narrow" w:hAnsi="Arial Narrow" w:cs="Tahoma"/>
          <w:sz w:val="22"/>
          <w:lang w:val="sr-Cyrl-CS"/>
        </w:rPr>
        <w:t>202</w:t>
      </w:r>
      <w:r w:rsidR="00727218" w:rsidRPr="0080434C">
        <w:rPr>
          <w:rFonts w:ascii="Arial Narrow" w:hAnsi="Arial Narrow" w:cs="Tahoma"/>
          <w:sz w:val="22"/>
          <w:lang w:val="sr-Cyrl-CS"/>
        </w:rPr>
        <w:t>4</w:t>
      </w:r>
      <w:r w:rsidR="00FD3D89" w:rsidRPr="0080434C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80434C">
        <w:rPr>
          <w:rFonts w:ascii="Arial Narrow" w:hAnsi="Arial Narrow" w:cs="Tahoma"/>
          <w:sz w:val="22"/>
          <w:lang w:val="sr-Cyrl-CS"/>
        </w:rPr>
        <w:t>мањи</w:t>
      </w:r>
      <w:r w:rsidR="00FD3D89" w:rsidRPr="0080434C">
        <w:rPr>
          <w:rFonts w:ascii="Arial Narrow" w:hAnsi="Arial Narrow" w:cs="Tahoma"/>
          <w:sz w:val="22"/>
          <w:lang w:val="sr-Cyrl-CS"/>
        </w:rPr>
        <w:t xml:space="preserve"> је за </w:t>
      </w:r>
      <w:r w:rsidR="002D43C0" w:rsidRPr="0080434C">
        <w:rPr>
          <w:rFonts w:ascii="Arial Narrow" w:hAnsi="Arial Narrow" w:cs="Tahoma"/>
          <w:sz w:val="22"/>
          <w:lang w:val="sr-Cyrl-CS"/>
        </w:rPr>
        <w:t>2,4</w:t>
      </w:r>
      <w:r w:rsidR="00A86A82" w:rsidRPr="0080434C">
        <w:rPr>
          <w:rFonts w:ascii="Arial Narrow" w:hAnsi="Arial Narrow" w:cs="Tahoma"/>
          <w:sz w:val="22"/>
          <w:lang w:val="sr-Cyrl-CS"/>
        </w:rPr>
        <w:t>% и</w:t>
      </w:r>
      <w:r w:rsidR="00F76500"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80434C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80434C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80434C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80434C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80434C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C40E0" w:rsidRPr="0080434C">
        <w:rPr>
          <w:rFonts w:ascii="Arial Narrow" w:hAnsi="Arial Narrow" w:cs="Tahoma"/>
          <w:sz w:val="22"/>
          <w:lang w:val="sr-Cyrl-CS"/>
        </w:rPr>
        <w:t>2,</w:t>
      </w:r>
      <w:r w:rsidR="003069E0" w:rsidRPr="0080434C">
        <w:rPr>
          <w:rFonts w:ascii="Arial Narrow" w:hAnsi="Arial Narrow" w:cs="Tahoma"/>
          <w:sz w:val="22"/>
          <w:lang w:val="sr-Cyrl-CS"/>
        </w:rPr>
        <w:t>5</w:t>
      </w:r>
      <w:r w:rsidR="000F566D" w:rsidRPr="0080434C">
        <w:rPr>
          <w:rFonts w:ascii="Arial Narrow" w:hAnsi="Arial Narrow" w:cs="Tahoma"/>
          <w:sz w:val="22"/>
          <w:lang w:val="sr-Cyrl-CS"/>
        </w:rPr>
        <w:t>%.</w:t>
      </w:r>
      <w:r w:rsidR="00CF5454" w:rsidRPr="0080434C">
        <w:rPr>
          <w:rFonts w:ascii="Arial Narrow" w:hAnsi="Arial Narrow" w:cs="Tahoma"/>
          <w:sz w:val="22"/>
          <w:lang w:val="sr-Cyrl-CS"/>
        </w:rPr>
        <w:t xml:space="preserve"> </w:t>
      </w:r>
    </w:p>
    <w:p w:rsidR="0084126B" w:rsidRPr="0080434C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84126B" w:rsidRPr="0080434C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:rsidR="00BD5F3E" w:rsidRPr="0080434C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80434C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80434C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2A619B" w:rsidRPr="0080434C">
        <w:rPr>
          <w:rFonts w:ascii="Arial Narrow" w:hAnsi="Arial Narrow" w:cs="Tahoma"/>
          <w:b/>
          <w:sz w:val="30"/>
          <w:szCs w:val="30"/>
        </w:rPr>
        <w:t>I-</w:t>
      </w:r>
      <w:r w:rsidR="0013134E" w:rsidRPr="0080434C">
        <w:rPr>
          <w:rFonts w:ascii="Arial Narrow" w:hAnsi="Arial Narrow" w:cs="Tahoma"/>
          <w:b/>
          <w:sz w:val="30"/>
          <w:szCs w:val="30"/>
        </w:rPr>
        <w:t>V</w:t>
      </w:r>
      <w:r w:rsidR="00FA0DC3" w:rsidRPr="0080434C">
        <w:rPr>
          <w:rFonts w:ascii="Arial Narrow" w:hAnsi="Arial Narrow" w:cs="Tahoma"/>
          <w:b/>
          <w:sz w:val="30"/>
          <w:szCs w:val="30"/>
        </w:rPr>
        <w:t>I</w:t>
      </w:r>
      <w:r w:rsidR="002A619B" w:rsidRPr="0080434C">
        <w:rPr>
          <w:rFonts w:ascii="Arial Narrow" w:hAnsi="Arial Narrow" w:cs="Tahoma"/>
          <w:b/>
          <w:sz w:val="30"/>
          <w:szCs w:val="30"/>
          <w:lang w:val="bs-Cyrl-BA"/>
        </w:rPr>
        <w:t xml:space="preserve"> 2025</w:t>
      </w:r>
      <w:r w:rsidRPr="0080434C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80434C">
        <w:rPr>
          <w:rFonts w:ascii="Arial Narrow" w:hAnsi="Arial Narrow" w:cs="Tahoma"/>
          <w:b/>
          <w:sz w:val="30"/>
          <w:szCs w:val="30"/>
          <w:lang w:val="bs-Cyrl-BA"/>
        </w:rPr>
        <w:t>извоз порастао за 6,6</w:t>
      </w:r>
      <w:r w:rsidR="005A0DC0" w:rsidRPr="0080434C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за </w:t>
      </w:r>
      <w:r w:rsidR="00FA0DC3" w:rsidRPr="0080434C">
        <w:rPr>
          <w:rFonts w:ascii="Arial Narrow" w:hAnsi="Arial Narrow" w:cs="Tahoma"/>
          <w:b/>
          <w:sz w:val="30"/>
          <w:szCs w:val="30"/>
          <w:lang w:val="bs-Cyrl-BA"/>
        </w:rPr>
        <w:t>3</w:t>
      </w:r>
      <w:r w:rsidR="005A0DC0" w:rsidRPr="0080434C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FA0DC3" w:rsidRPr="0080434C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="005A0DC0" w:rsidRPr="0080434C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:rsidR="00BD5F3E" w:rsidRPr="0080434C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80434C" w:rsidRDefault="00BD5F3E" w:rsidP="00BD5F3E">
      <w:pPr>
        <w:jc w:val="both"/>
        <w:rPr>
          <w:rFonts w:ascii="Arial Narrow" w:hAnsi="Arial Narrow" w:cs="Tahoma"/>
          <w:sz w:val="22"/>
        </w:rPr>
      </w:pPr>
      <w:r w:rsidRPr="0080434C">
        <w:rPr>
          <w:rFonts w:ascii="Arial Narrow" w:hAnsi="Arial Narrow" w:cs="Tahoma"/>
          <w:sz w:val="22"/>
          <w:lang w:val="sr-Latn-BA"/>
        </w:rPr>
        <w:t>У</w:t>
      </w:r>
      <w:r w:rsidRPr="0080434C">
        <w:rPr>
          <w:rFonts w:ascii="Arial Narrow" w:hAnsi="Arial Narrow" w:cs="Tahoma"/>
          <w:sz w:val="22"/>
          <w:lang w:val="sr-Cyrl-BA"/>
        </w:rPr>
        <w:t xml:space="preserve"> периоду</w:t>
      </w:r>
      <w:r w:rsidRPr="0080434C">
        <w:rPr>
          <w:rFonts w:ascii="Arial Narrow" w:hAnsi="Arial Narrow" w:cs="Tahoma"/>
          <w:sz w:val="22"/>
          <w:lang w:val="sr-Latn-BA"/>
        </w:rPr>
        <w:t xml:space="preserve"> </w:t>
      </w:r>
      <w:r w:rsidRPr="0080434C">
        <w:rPr>
          <w:rFonts w:ascii="Arial Narrow" w:hAnsi="Arial Narrow" w:cs="Tahoma"/>
          <w:sz w:val="22"/>
          <w:lang w:val="sr-Cyrl-RS"/>
        </w:rPr>
        <w:t xml:space="preserve">јануар - </w:t>
      </w:r>
      <w:r w:rsidR="00FA0DC3" w:rsidRPr="0080434C">
        <w:rPr>
          <w:rFonts w:ascii="Arial Narrow" w:hAnsi="Arial Narrow" w:cs="Tahoma"/>
          <w:sz w:val="22"/>
          <w:lang w:val="sr-Cyrl-RS"/>
        </w:rPr>
        <w:t>јун</w:t>
      </w:r>
      <w:r w:rsidRPr="0080434C">
        <w:rPr>
          <w:rFonts w:ascii="Arial Narrow" w:hAnsi="Arial Narrow" w:cs="Tahoma"/>
          <w:sz w:val="22"/>
          <w:lang w:val="sr-Cyrl-RS"/>
        </w:rPr>
        <w:t xml:space="preserve"> </w:t>
      </w:r>
      <w:r w:rsidRPr="0080434C">
        <w:rPr>
          <w:rFonts w:ascii="Arial Narrow" w:hAnsi="Arial Narrow" w:cs="Tahoma"/>
          <w:sz w:val="22"/>
          <w:lang w:val="sr-Latn-BA"/>
        </w:rPr>
        <w:t>202</w:t>
      </w:r>
      <w:r w:rsidR="002A619B" w:rsidRPr="0080434C">
        <w:rPr>
          <w:rFonts w:ascii="Arial Narrow" w:hAnsi="Arial Narrow" w:cs="Tahoma"/>
          <w:sz w:val="22"/>
          <w:lang w:val="sr-Cyrl-BA"/>
        </w:rPr>
        <w:t>5</w:t>
      </w:r>
      <w:r w:rsidRPr="0080434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0434C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DF4D51" w:rsidRPr="0080434C">
        <w:rPr>
          <w:rFonts w:ascii="Arial Narrow" w:hAnsi="Arial Narrow" w:cs="Tahoma"/>
          <w:sz w:val="22"/>
          <w:lang w:val="sr-Cyrl-BA"/>
        </w:rPr>
        <w:t xml:space="preserve">двије </w:t>
      </w:r>
      <w:r w:rsidR="00C104C2" w:rsidRPr="0080434C">
        <w:rPr>
          <w:rFonts w:ascii="Arial Narrow" w:hAnsi="Arial Narrow" w:cs="Tahoma"/>
          <w:sz w:val="22"/>
          <w:lang w:val="sr-Cyrl-BA"/>
        </w:rPr>
        <w:t>милијард</w:t>
      </w:r>
      <w:r w:rsidR="00DF4D51" w:rsidRPr="0080434C">
        <w:rPr>
          <w:rFonts w:ascii="Arial Narrow" w:hAnsi="Arial Narrow" w:cs="Tahoma"/>
          <w:sz w:val="22"/>
          <w:lang w:val="sr-Cyrl-BA"/>
        </w:rPr>
        <w:t>е</w:t>
      </w:r>
      <w:r w:rsidR="00C104C2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FA0DC3" w:rsidRPr="0080434C">
        <w:rPr>
          <w:rFonts w:ascii="Arial Narrow" w:hAnsi="Arial Narrow" w:cs="Tahoma"/>
          <w:sz w:val="22"/>
          <w:lang w:val="sr-Cyrl-BA"/>
        </w:rPr>
        <w:t>613</w:t>
      </w:r>
      <w:r w:rsidR="00DC3FCC" w:rsidRPr="0080434C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80434C">
        <w:rPr>
          <w:rFonts w:ascii="Arial Narrow" w:hAnsi="Arial Narrow" w:cs="Tahoma"/>
          <w:sz w:val="22"/>
          <w:lang w:val="sr-Cyrl-BA"/>
        </w:rPr>
        <w:t>а</w:t>
      </w:r>
      <w:r w:rsidRPr="0080434C">
        <w:rPr>
          <w:rFonts w:ascii="Arial Narrow" w:hAnsi="Arial Narrow" w:cs="Tahoma"/>
          <w:sz w:val="22"/>
          <w:lang w:val="sr-Cyrl-BA"/>
        </w:rPr>
        <w:t xml:space="preserve"> КМ,</w:t>
      </w:r>
      <w:r w:rsidRPr="0080434C">
        <w:rPr>
          <w:rFonts w:ascii="Arial Narrow" w:hAnsi="Arial Narrow" w:cs="Tahoma"/>
          <w:sz w:val="22"/>
          <w:lang w:val="sr-Latn-BA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 xml:space="preserve">што је за </w:t>
      </w:r>
      <w:r w:rsidR="00DF4D51" w:rsidRPr="0080434C">
        <w:rPr>
          <w:rFonts w:ascii="Arial Narrow" w:hAnsi="Arial Narrow" w:cs="Tahoma"/>
          <w:sz w:val="22"/>
          <w:lang w:val="sr-Cyrl-BA"/>
        </w:rPr>
        <w:t>6</w:t>
      </w:r>
      <w:r w:rsidRPr="0080434C">
        <w:rPr>
          <w:rFonts w:ascii="Arial Narrow" w:hAnsi="Arial Narrow" w:cs="Tahoma"/>
          <w:sz w:val="22"/>
          <w:lang w:val="sr-Cyrl-BA"/>
        </w:rPr>
        <w:t>,</w:t>
      </w:r>
      <w:r w:rsidR="00FA0DC3" w:rsidRPr="0080434C">
        <w:rPr>
          <w:rFonts w:ascii="Arial Narrow" w:hAnsi="Arial Narrow" w:cs="Tahoma"/>
          <w:sz w:val="22"/>
          <w:lang w:val="sr-Cyrl-BA"/>
        </w:rPr>
        <w:t>6</w:t>
      </w:r>
      <w:r w:rsidRPr="0080434C">
        <w:rPr>
          <w:rFonts w:ascii="Arial Narrow" w:hAnsi="Arial Narrow" w:cs="Tahoma"/>
          <w:sz w:val="22"/>
          <w:lang w:val="sr-Cyrl-BA"/>
        </w:rPr>
        <w:t xml:space="preserve">% </w:t>
      </w:r>
      <w:r w:rsidR="002A619B" w:rsidRPr="0080434C">
        <w:rPr>
          <w:rFonts w:ascii="Arial Narrow" w:hAnsi="Arial Narrow" w:cs="Tahoma"/>
          <w:sz w:val="22"/>
          <w:lang w:val="sr-Cyrl-BA"/>
        </w:rPr>
        <w:t xml:space="preserve">више </w:t>
      </w:r>
      <w:r w:rsidRPr="0080434C">
        <w:rPr>
          <w:rFonts w:ascii="Arial Narrow" w:hAnsi="Arial Narrow" w:cs="Tahoma"/>
          <w:sz w:val="22"/>
          <w:lang w:val="sr-Cyrl-BA"/>
        </w:rPr>
        <w:t xml:space="preserve">него у периоду јануар - </w:t>
      </w:r>
      <w:r w:rsidR="00FA0DC3" w:rsidRPr="0080434C">
        <w:rPr>
          <w:rFonts w:ascii="Arial Narrow" w:hAnsi="Arial Narrow" w:cs="Tahoma"/>
          <w:sz w:val="22"/>
          <w:lang w:val="sr-Cyrl-RS"/>
        </w:rPr>
        <w:t xml:space="preserve">јун </w:t>
      </w:r>
      <w:r w:rsidRPr="0080434C">
        <w:rPr>
          <w:rFonts w:ascii="Arial Narrow" w:hAnsi="Arial Narrow" w:cs="Tahoma"/>
          <w:sz w:val="22"/>
          <w:lang w:val="sr-Cyrl-BA"/>
        </w:rPr>
        <w:t>202</w:t>
      </w:r>
      <w:r w:rsidR="002A619B" w:rsidRPr="0080434C">
        <w:rPr>
          <w:rFonts w:ascii="Arial Narrow" w:hAnsi="Arial Narrow" w:cs="Tahoma"/>
          <w:sz w:val="22"/>
          <w:lang w:val="sr-Cyrl-BA"/>
        </w:rPr>
        <w:t>4</w:t>
      </w:r>
      <w:r w:rsidRPr="0080434C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DF4D51" w:rsidRPr="0080434C">
        <w:rPr>
          <w:rFonts w:ascii="Arial Narrow" w:hAnsi="Arial Narrow" w:cs="Tahoma"/>
          <w:sz w:val="22"/>
          <w:lang w:val="sr-Cyrl-BA"/>
        </w:rPr>
        <w:t>три</w:t>
      </w:r>
      <w:r w:rsidR="0013134E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>милијард</w:t>
      </w:r>
      <w:r w:rsidR="0013134E" w:rsidRPr="0080434C">
        <w:rPr>
          <w:rFonts w:ascii="Arial Narrow" w:hAnsi="Arial Narrow" w:cs="Tahoma"/>
          <w:sz w:val="22"/>
          <w:lang w:val="sr-Cyrl-BA"/>
        </w:rPr>
        <w:t>е</w:t>
      </w:r>
      <w:r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FA0DC3" w:rsidRPr="0080434C">
        <w:rPr>
          <w:rFonts w:ascii="Arial Narrow" w:hAnsi="Arial Narrow" w:cs="Tahoma"/>
          <w:sz w:val="22"/>
          <w:lang w:val="sr-Cyrl-BA"/>
        </w:rPr>
        <w:t>678</w:t>
      </w:r>
      <w:r w:rsidR="0084126B" w:rsidRPr="0080434C">
        <w:rPr>
          <w:rFonts w:ascii="Arial Narrow" w:hAnsi="Arial Narrow" w:cs="Tahoma"/>
          <w:sz w:val="22"/>
          <w:lang w:val="sr-Cyrl-BA"/>
        </w:rPr>
        <w:t xml:space="preserve"> милион</w:t>
      </w:r>
      <w:r w:rsidR="00303A8A" w:rsidRPr="0080434C">
        <w:rPr>
          <w:rFonts w:ascii="Arial Narrow" w:hAnsi="Arial Narrow" w:cs="Tahoma"/>
          <w:sz w:val="22"/>
        </w:rPr>
        <w:t>a</w:t>
      </w:r>
      <w:r w:rsidRPr="0080434C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FA0DC3" w:rsidRPr="0080434C">
        <w:rPr>
          <w:rFonts w:ascii="Arial Narrow" w:hAnsi="Arial Narrow" w:cs="Tahoma"/>
          <w:sz w:val="22"/>
          <w:lang w:val="sr-Cyrl-BA"/>
        </w:rPr>
        <w:t>3</w:t>
      </w:r>
      <w:r w:rsidRPr="0080434C">
        <w:rPr>
          <w:rFonts w:ascii="Arial Narrow" w:hAnsi="Arial Narrow" w:cs="Tahoma"/>
          <w:sz w:val="22"/>
          <w:lang w:val="sr-Cyrl-BA"/>
        </w:rPr>
        <w:t>,</w:t>
      </w:r>
      <w:r w:rsidR="00FA0DC3" w:rsidRPr="0080434C">
        <w:rPr>
          <w:rFonts w:ascii="Arial Narrow" w:hAnsi="Arial Narrow" w:cs="Tahoma"/>
          <w:sz w:val="22"/>
          <w:lang w:val="sr-Cyrl-BA"/>
        </w:rPr>
        <w:t>6</w:t>
      </w:r>
      <w:r w:rsidRPr="0080434C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FA0DC3" w:rsidRPr="0080434C">
        <w:rPr>
          <w:rFonts w:ascii="Arial Narrow" w:hAnsi="Arial Narrow" w:cs="Tahoma"/>
          <w:sz w:val="22"/>
          <w:lang w:val="sr-Cyrl-RS"/>
        </w:rPr>
        <w:t xml:space="preserve">јун </w:t>
      </w:r>
      <w:r w:rsidRPr="0080434C">
        <w:rPr>
          <w:rFonts w:ascii="Arial Narrow" w:hAnsi="Arial Narrow" w:cs="Tahoma"/>
          <w:sz w:val="22"/>
          <w:lang w:val="sr-Cyrl-BA"/>
        </w:rPr>
        <w:t>202</w:t>
      </w:r>
      <w:r w:rsidR="002A619B" w:rsidRPr="0080434C">
        <w:rPr>
          <w:rFonts w:ascii="Arial Narrow" w:hAnsi="Arial Narrow" w:cs="Tahoma"/>
          <w:sz w:val="22"/>
          <w:lang w:val="sr-Cyrl-BA"/>
        </w:rPr>
        <w:t>4</w:t>
      </w:r>
      <w:r w:rsidRPr="0080434C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FA0DC3" w:rsidRPr="0080434C">
        <w:rPr>
          <w:rFonts w:ascii="Arial Narrow" w:hAnsi="Arial Narrow" w:cs="Tahoma"/>
          <w:sz w:val="22"/>
          <w:lang w:val="sr-Cyrl-BA"/>
        </w:rPr>
        <w:t>71</w:t>
      </w:r>
      <w:r w:rsidRPr="0080434C">
        <w:rPr>
          <w:rFonts w:ascii="Arial Narrow" w:hAnsi="Arial Narrow" w:cs="Tahoma"/>
          <w:sz w:val="22"/>
          <w:lang w:val="sr-Cyrl-BA"/>
        </w:rPr>
        <w:t>,</w:t>
      </w:r>
      <w:r w:rsidR="00FA0DC3" w:rsidRPr="0080434C">
        <w:rPr>
          <w:rFonts w:ascii="Arial Narrow" w:hAnsi="Arial Narrow" w:cs="Tahoma"/>
          <w:sz w:val="22"/>
          <w:lang w:val="sr-Cyrl-BA"/>
        </w:rPr>
        <w:t>1</w:t>
      </w:r>
      <w:r w:rsidRPr="0080434C">
        <w:rPr>
          <w:rFonts w:ascii="Arial Narrow" w:hAnsi="Arial Narrow" w:cs="Tahoma"/>
          <w:sz w:val="22"/>
          <w:lang w:val="sr-Cyrl-BA"/>
        </w:rPr>
        <w:t>%.</w:t>
      </w:r>
    </w:p>
    <w:p w:rsidR="00BD5F3E" w:rsidRPr="0080434C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80434C" w:rsidRDefault="00BD5F3E" w:rsidP="00BD5F3E">
      <w:pPr>
        <w:jc w:val="both"/>
        <w:rPr>
          <w:rFonts w:ascii="Arial Narrow" w:hAnsi="Arial Narrow" w:cs="Tahoma"/>
          <w:sz w:val="22"/>
        </w:rPr>
      </w:pPr>
      <w:r w:rsidRPr="0080434C">
        <w:rPr>
          <w:rFonts w:ascii="Arial Narrow" w:hAnsi="Arial Narrow" w:cs="Tahoma"/>
          <w:sz w:val="22"/>
          <w:lang w:val="sr-Latn-BA"/>
        </w:rPr>
        <w:t xml:space="preserve">У </w:t>
      </w:r>
      <w:r w:rsidR="00FA0DC3" w:rsidRPr="0080434C">
        <w:rPr>
          <w:rFonts w:ascii="Arial Narrow" w:hAnsi="Arial Narrow" w:cs="Tahoma"/>
          <w:sz w:val="22"/>
          <w:lang w:val="sr-Cyrl-RS"/>
        </w:rPr>
        <w:t xml:space="preserve">јуну </w:t>
      </w:r>
      <w:r w:rsidRPr="0080434C">
        <w:rPr>
          <w:rFonts w:ascii="Arial Narrow" w:hAnsi="Arial Narrow" w:cs="Tahoma"/>
          <w:sz w:val="22"/>
          <w:lang w:val="sr-Latn-BA"/>
        </w:rPr>
        <w:t>202</w:t>
      </w:r>
      <w:r w:rsidR="002A619B" w:rsidRPr="0080434C">
        <w:rPr>
          <w:rFonts w:ascii="Arial Narrow" w:hAnsi="Arial Narrow" w:cs="Tahoma"/>
          <w:sz w:val="22"/>
          <w:lang w:val="sr-Cyrl-BA"/>
        </w:rPr>
        <w:t>5</w:t>
      </w:r>
      <w:r w:rsidRPr="0080434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0434C">
        <w:rPr>
          <w:rFonts w:ascii="Arial Narrow" w:hAnsi="Arial Narrow" w:cs="Tahoma"/>
          <w:sz w:val="22"/>
          <w:lang w:val="sr-Cyrl-BA"/>
        </w:rPr>
        <w:t>оства</w:t>
      </w:r>
      <w:r w:rsidR="009E2ADF" w:rsidRPr="0080434C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FA0DC3" w:rsidRPr="0080434C">
        <w:rPr>
          <w:rFonts w:ascii="Arial Narrow" w:hAnsi="Arial Narrow" w:cs="Tahoma"/>
          <w:sz w:val="22"/>
          <w:lang w:val="sr-Cyrl-BA"/>
        </w:rPr>
        <w:t>448</w:t>
      </w:r>
      <w:r w:rsidRPr="0080434C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80434C">
        <w:rPr>
          <w:rFonts w:ascii="Arial Narrow" w:hAnsi="Arial Narrow" w:cs="Tahoma"/>
          <w:sz w:val="22"/>
          <w:lang w:val="sr-Latn-BA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 xml:space="preserve">што је за </w:t>
      </w:r>
      <w:r w:rsidR="00FA0DC3" w:rsidRPr="0080434C">
        <w:rPr>
          <w:rFonts w:ascii="Arial Narrow" w:hAnsi="Arial Narrow" w:cs="Tahoma"/>
          <w:sz w:val="22"/>
        </w:rPr>
        <w:t>8</w:t>
      </w:r>
      <w:r w:rsidRPr="0080434C">
        <w:rPr>
          <w:rFonts w:ascii="Arial Narrow" w:hAnsi="Arial Narrow" w:cs="Tahoma"/>
          <w:sz w:val="22"/>
          <w:lang w:val="sr-Cyrl-BA"/>
        </w:rPr>
        <w:t>,</w:t>
      </w:r>
      <w:r w:rsidR="00FA0DC3" w:rsidRPr="0080434C">
        <w:rPr>
          <w:rFonts w:ascii="Arial Narrow" w:hAnsi="Arial Narrow" w:cs="Tahoma"/>
          <w:sz w:val="22"/>
          <w:lang w:val="sr-Cyrl-BA"/>
        </w:rPr>
        <w:t>7</w:t>
      </w:r>
      <w:r w:rsidRPr="0080434C">
        <w:rPr>
          <w:rFonts w:ascii="Arial Narrow" w:hAnsi="Arial Narrow" w:cs="Tahoma"/>
          <w:sz w:val="22"/>
          <w:lang w:val="sr-Cyrl-BA"/>
        </w:rPr>
        <w:t xml:space="preserve">% </w:t>
      </w:r>
      <w:r w:rsidR="00DF4D51" w:rsidRPr="0080434C">
        <w:rPr>
          <w:rFonts w:ascii="Arial Narrow" w:hAnsi="Arial Narrow" w:cs="Tahoma"/>
          <w:sz w:val="22"/>
          <w:lang w:val="sr-Cyrl-BA"/>
        </w:rPr>
        <w:t>више</w:t>
      </w:r>
      <w:r w:rsidR="0082430A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 xml:space="preserve">него у </w:t>
      </w:r>
      <w:r w:rsidR="00FA0DC3" w:rsidRPr="0080434C">
        <w:rPr>
          <w:rFonts w:ascii="Arial Narrow" w:hAnsi="Arial Narrow" w:cs="Tahoma"/>
          <w:sz w:val="22"/>
          <w:lang w:val="sr-Cyrl-RS"/>
        </w:rPr>
        <w:t>јуну</w:t>
      </w:r>
      <w:r w:rsidR="00C104C2" w:rsidRPr="0080434C">
        <w:rPr>
          <w:rFonts w:ascii="Arial Narrow" w:hAnsi="Arial Narrow" w:cs="Tahoma"/>
          <w:sz w:val="22"/>
          <w:lang w:val="sr-Cyrl-RS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>202</w:t>
      </w:r>
      <w:r w:rsidR="002A619B" w:rsidRPr="0080434C">
        <w:rPr>
          <w:rFonts w:ascii="Arial Narrow" w:hAnsi="Arial Narrow" w:cs="Tahoma"/>
          <w:sz w:val="22"/>
          <w:lang w:val="sr-Cyrl-BA"/>
        </w:rPr>
        <w:t>4</w:t>
      </w:r>
      <w:r w:rsidRPr="0080434C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DF4D51" w:rsidRPr="0080434C">
        <w:rPr>
          <w:rFonts w:ascii="Arial Narrow" w:hAnsi="Arial Narrow" w:cs="Tahoma"/>
          <w:sz w:val="22"/>
          <w:lang w:val="sr-Cyrl-BA"/>
        </w:rPr>
        <w:t>60</w:t>
      </w:r>
      <w:r w:rsidR="00FA0DC3" w:rsidRPr="0080434C">
        <w:rPr>
          <w:rFonts w:ascii="Arial Narrow" w:hAnsi="Arial Narrow" w:cs="Tahoma"/>
          <w:sz w:val="22"/>
        </w:rPr>
        <w:t>2</w:t>
      </w:r>
      <w:r w:rsidRPr="0080434C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FA0DC3" w:rsidRPr="0080434C">
        <w:rPr>
          <w:rFonts w:ascii="Arial Narrow" w:hAnsi="Arial Narrow" w:cs="Tahoma"/>
          <w:sz w:val="22"/>
          <w:lang w:val="sr-Cyrl-BA"/>
        </w:rPr>
        <w:t>5</w:t>
      </w:r>
      <w:r w:rsidRPr="0080434C">
        <w:rPr>
          <w:rFonts w:ascii="Arial Narrow" w:hAnsi="Arial Narrow" w:cs="Tahoma"/>
          <w:sz w:val="22"/>
          <w:lang w:val="sr-Cyrl-BA"/>
        </w:rPr>
        <w:t>,</w:t>
      </w:r>
      <w:r w:rsidR="00FA0DC3" w:rsidRPr="0080434C">
        <w:rPr>
          <w:rFonts w:ascii="Arial Narrow" w:hAnsi="Arial Narrow" w:cs="Tahoma"/>
          <w:sz w:val="22"/>
          <w:lang w:val="sr-Cyrl-BA"/>
        </w:rPr>
        <w:t>4</w:t>
      </w:r>
      <w:r w:rsidRPr="0080434C">
        <w:rPr>
          <w:rFonts w:ascii="Arial Narrow" w:hAnsi="Arial Narrow" w:cs="Tahoma"/>
          <w:sz w:val="22"/>
          <w:lang w:val="sr-Cyrl-BA"/>
        </w:rPr>
        <w:t xml:space="preserve">% </w:t>
      </w:r>
      <w:r w:rsidR="00FA0DC3" w:rsidRPr="0080434C">
        <w:rPr>
          <w:rFonts w:ascii="Arial Narrow" w:hAnsi="Arial Narrow" w:cs="Tahoma"/>
          <w:sz w:val="22"/>
          <w:lang w:val="sr-Cyrl-BA"/>
        </w:rPr>
        <w:t>мање</w:t>
      </w:r>
      <w:r w:rsidR="00DF4D51" w:rsidRPr="0080434C">
        <w:rPr>
          <w:rFonts w:ascii="Arial Narrow" w:hAnsi="Arial Narrow" w:cs="Tahoma"/>
          <w:sz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lang w:val="sr-Cyrl-BA"/>
        </w:rPr>
        <w:t xml:space="preserve">него у </w:t>
      </w:r>
      <w:r w:rsidR="00FA0DC3" w:rsidRPr="0080434C">
        <w:rPr>
          <w:rFonts w:ascii="Arial Narrow" w:hAnsi="Arial Narrow" w:cs="Tahoma"/>
          <w:sz w:val="22"/>
          <w:lang w:val="sr-Cyrl-RS"/>
        </w:rPr>
        <w:t xml:space="preserve">јуну </w:t>
      </w:r>
      <w:r w:rsidRPr="0080434C">
        <w:rPr>
          <w:rFonts w:ascii="Arial Narrow" w:hAnsi="Arial Narrow" w:cs="Tahoma"/>
          <w:sz w:val="22"/>
          <w:lang w:val="sr-Cyrl-BA"/>
        </w:rPr>
        <w:t>202</w:t>
      </w:r>
      <w:r w:rsidR="002A619B" w:rsidRPr="0080434C">
        <w:rPr>
          <w:rFonts w:ascii="Arial Narrow" w:hAnsi="Arial Narrow" w:cs="Tahoma"/>
          <w:sz w:val="22"/>
          <w:lang w:val="sr-Cyrl-BA"/>
        </w:rPr>
        <w:t>4</w:t>
      </w:r>
      <w:r w:rsidRPr="0080434C">
        <w:rPr>
          <w:rFonts w:ascii="Arial Narrow" w:hAnsi="Arial Narrow" w:cs="Tahoma"/>
          <w:sz w:val="22"/>
          <w:lang w:val="sr-Cyrl-BA"/>
        </w:rPr>
        <w:t xml:space="preserve">. </w:t>
      </w:r>
      <w:r w:rsidRPr="0080434C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80434C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DF4D51" w:rsidRPr="0080434C">
        <w:rPr>
          <w:rFonts w:ascii="Arial Narrow" w:hAnsi="Arial Narrow" w:cs="Tahoma"/>
          <w:sz w:val="22"/>
        </w:rPr>
        <w:t>74</w:t>
      </w:r>
      <w:r w:rsidRPr="0080434C">
        <w:rPr>
          <w:rFonts w:ascii="Arial Narrow" w:hAnsi="Arial Narrow" w:cs="Tahoma"/>
          <w:sz w:val="22"/>
          <w:lang w:val="sr-Cyrl-BA"/>
        </w:rPr>
        <w:t>,</w:t>
      </w:r>
      <w:r w:rsidR="00FA0DC3" w:rsidRPr="0080434C">
        <w:rPr>
          <w:rFonts w:ascii="Arial Narrow" w:hAnsi="Arial Narrow" w:cs="Tahoma"/>
          <w:sz w:val="22"/>
          <w:lang w:val="sr-Cyrl-BA"/>
        </w:rPr>
        <w:t>4</w:t>
      </w:r>
      <w:r w:rsidRPr="0080434C">
        <w:rPr>
          <w:rFonts w:ascii="Arial Narrow" w:hAnsi="Arial Narrow" w:cs="Tahoma"/>
          <w:sz w:val="22"/>
          <w:lang w:val="sr-Cyrl-BA"/>
        </w:rPr>
        <w:t>%.</w:t>
      </w:r>
    </w:p>
    <w:p w:rsidR="00BD5F3E" w:rsidRPr="0080434C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80434C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80434C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80434C">
        <w:rPr>
          <w:rFonts w:ascii="Arial Narrow" w:hAnsi="Arial Narrow" w:cs="Tahoma"/>
          <w:sz w:val="22"/>
        </w:rPr>
        <w:t>e</w:t>
      </w:r>
      <w:r w:rsidRPr="0080434C">
        <w:rPr>
          <w:rFonts w:ascii="Arial Narrow" w:hAnsi="Arial Narrow" w:cs="Tahoma"/>
          <w:sz w:val="22"/>
          <w:lang w:val="ru-RU"/>
        </w:rPr>
        <w:t xml:space="preserve"> Српск</w:t>
      </w:r>
      <w:r w:rsidRPr="0080434C">
        <w:rPr>
          <w:rFonts w:ascii="Arial Narrow" w:hAnsi="Arial Narrow" w:cs="Tahoma"/>
          <w:sz w:val="22"/>
        </w:rPr>
        <w:t>e</w:t>
      </w:r>
      <w:r w:rsidRPr="0080434C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FA0DC3" w:rsidRPr="0080434C">
        <w:rPr>
          <w:rFonts w:ascii="Arial Narrow" w:hAnsi="Arial Narrow" w:cs="Tahoma"/>
          <w:sz w:val="22"/>
          <w:lang w:val="sr-Cyrl-RS"/>
        </w:rPr>
        <w:t>јун</w:t>
      </w:r>
      <w:r w:rsidR="00DF4D51" w:rsidRPr="0080434C">
        <w:rPr>
          <w:rFonts w:ascii="Arial Narrow" w:hAnsi="Arial Narrow" w:cs="Tahoma"/>
          <w:sz w:val="22"/>
          <w:lang w:val="sr-Cyrl-RS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202</w:t>
      </w:r>
      <w:r w:rsidR="002A619B" w:rsidRPr="0080434C">
        <w:rPr>
          <w:rFonts w:ascii="Arial Narrow" w:hAnsi="Arial Narrow" w:cs="Tahoma"/>
          <w:sz w:val="22"/>
          <w:lang w:val="sr-Cyrl-CS"/>
        </w:rPr>
        <w:t>5</w:t>
      </w:r>
      <w:r w:rsidRPr="0080434C">
        <w:rPr>
          <w:rFonts w:ascii="Arial Narrow" w:hAnsi="Arial Narrow" w:cs="Tahoma"/>
          <w:sz w:val="22"/>
          <w:lang w:val="sr-Cyrl-CS"/>
        </w:rPr>
        <w:t>. године, највише се</w:t>
      </w:r>
      <w:r w:rsidRPr="0080434C">
        <w:rPr>
          <w:rFonts w:ascii="Arial Narrow" w:hAnsi="Arial Narrow" w:cs="Tahoma"/>
          <w:sz w:val="22"/>
        </w:rPr>
        <w:t>,</w:t>
      </w:r>
      <w:r w:rsidRPr="0080434C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80434C">
        <w:rPr>
          <w:rFonts w:ascii="Arial Narrow" w:hAnsi="Arial Narrow" w:cs="Tahoma"/>
          <w:sz w:val="22"/>
        </w:rPr>
        <w:t>,</w:t>
      </w:r>
      <w:r w:rsidRPr="0080434C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B87A6D" w:rsidRPr="0080434C">
        <w:rPr>
          <w:rFonts w:ascii="Arial Narrow" w:hAnsi="Arial Narrow" w:cs="Tahoma"/>
          <w:sz w:val="22"/>
          <w:lang w:val="sr-Cyrl-BA"/>
        </w:rPr>
        <w:t>463</w:t>
      </w:r>
      <w:r w:rsidRPr="0080434C">
        <w:rPr>
          <w:rFonts w:ascii="Arial Narrow" w:hAnsi="Arial Narrow" w:cs="Tahoma"/>
          <w:sz w:val="22"/>
          <w:lang w:val="sr-Cyrl-BA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>милион</w:t>
      </w:r>
      <w:r w:rsidR="00854969" w:rsidRPr="0080434C">
        <w:rPr>
          <w:rFonts w:ascii="Arial Narrow" w:hAnsi="Arial Narrow" w:cs="Tahoma"/>
          <w:sz w:val="22"/>
          <w:lang w:val="sr-Cyrl-BA"/>
        </w:rPr>
        <w:t>а</w:t>
      </w:r>
      <w:r w:rsidRPr="0080434C">
        <w:rPr>
          <w:rFonts w:ascii="Arial Narrow" w:hAnsi="Arial Narrow" w:cs="Tahoma"/>
          <w:sz w:val="22"/>
          <w:lang w:val="sr-Cyrl-CS"/>
        </w:rPr>
        <w:t xml:space="preserve"> КМ (1</w:t>
      </w:r>
      <w:r w:rsidR="00DF4D51" w:rsidRPr="0080434C">
        <w:rPr>
          <w:rFonts w:ascii="Arial Narrow" w:hAnsi="Arial Narrow" w:cs="Tahoma"/>
          <w:sz w:val="22"/>
          <w:lang w:val="sr-Cyrl-CS"/>
        </w:rPr>
        <w:t>7</w:t>
      </w:r>
      <w:r w:rsidRPr="0080434C">
        <w:rPr>
          <w:rFonts w:ascii="Arial Narrow" w:hAnsi="Arial Narrow" w:cs="Tahoma"/>
          <w:sz w:val="22"/>
          <w:lang w:val="sr-Cyrl-CS"/>
        </w:rPr>
        <w:t>,</w:t>
      </w:r>
      <w:r w:rsidR="00B87A6D" w:rsidRPr="0080434C">
        <w:rPr>
          <w:rFonts w:ascii="Arial Narrow" w:hAnsi="Arial Narrow" w:cs="Tahoma"/>
          <w:sz w:val="22"/>
          <w:lang w:val="sr-Cyrl-CS"/>
        </w:rPr>
        <w:t>7</w:t>
      </w:r>
      <w:r w:rsidRPr="0080434C">
        <w:rPr>
          <w:rFonts w:ascii="Arial Narrow" w:hAnsi="Arial Narrow" w:cs="Tahoma"/>
          <w:sz w:val="22"/>
          <w:lang w:val="sr-Cyrl-CS"/>
        </w:rPr>
        <w:t>%)</w:t>
      </w:r>
      <w:r w:rsidRPr="0080434C">
        <w:rPr>
          <w:rFonts w:ascii="Arial Narrow" w:hAnsi="Arial Narrow" w:cs="Tahoma"/>
          <w:sz w:val="22"/>
          <w:lang w:val="ru-RU"/>
        </w:rPr>
        <w:t xml:space="preserve"> </w:t>
      </w:r>
      <w:r w:rsidRPr="0080434C">
        <w:rPr>
          <w:rFonts w:ascii="Arial Narrow" w:hAnsi="Arial Narrow" w:cs="Tahoma"/>
          <w:sz w:val="22"/>
          <w:lang w:val="sr-Cyrl-CS"/>
        </w:rPr>
        <w:t xml:space="preserve">и у </w:t>
      </w:r>
      <w:r w:rsidRPr="0080434C">
        <w:rPr>
          <w:rFonts w:ascii="Arial Narrow" w:hAnsi="Arial Narrow" w:cs="Tahoma"/>
          <w:sz w:val="22"/>
          <w:lang w:val="sr-Cyrl-RS"/>
        </w:rPr>
        <w:t>Србију</w:t>
      </w:r>
      <w:r w:rsidRPr="0080434C">
        <w:rPr>
          <w:rFonts w:ascii="Arial Narrow" w:hAnsi="Arial Narrow" w:cs="Tahoma"/>
          <w:sz w:val="22"/>
          <w:lang w:val="sr-Cyrl-CS"/>
        </w:rPr>
        <w:t xml:space="preserve"> </w:t>
      </w:r>
      <w:r w:rsidR="00B87A6D" w:rsidRPr="0080434C">
        <w:rPr>
          <w:rFonts w:ascii="Arial Narrow" w:hAnsi="Arial Narrow" w:cs="Tahoma"/>
          <w:sz w:val="22"/>
          <w:lang w:val="sr-Cyrl-CS"/>
        </w:rPr>
        <w:t>433</w:t>
      </w:r>
      <w:r w:rsidRPr="0080434C">
        <w:rPr>
          <w:rFonts w:ascii="Arial Narrow" w:hAnsi="Arial Narrow" w:cs="Tahoma"/>
          <w:sz w:val="22"/>
          <w:lang w:val="sr-Cyrl-CS"/>
        </w:rPr>
        <w:t xml:space="preserve"> милион</w:t>
      </w:r>
      <w:r w:rsidRPr="0080434C">
        <w:rPr>
          <w:rFonts w:ascii="Arial Narrow" w:hAnsi="Arial Narrow" w:cs="Tahoma"/>
          <w:sz w:val="22"/>
          <w:lang w:val="sr-Cyrl-BA"/>
        </w:rPr>
        <w:t>а</w:t>
      </w:r>
      <w:r w:rsidRPr="0080434C">
        <w:rPr>
          <w:rFonts w:ascii="Arial Narrow" w:hAnsi="Arial Narrow" w:cs="Tahoma"/>
          <w:sz w:val="22"/>
          <w:lang w:val="sr-Cyrl-CS"/>
        </w:rPr>
        <w:t xml:space="preserve"> КМ (1</w:t>
      </w:r>
      <w:r w:rsidR="00981545" w:rsidRPr="0080434C">
        <w:rPr>
          <w:rFonts w:ascii="Arial Narrow" w:hAnsi="Arial Narrow" w:cs="Tahoma"/>
          <w:sz w:val="22"/>
          <w:lang w:val="sr-Cyrl-CS"/>
        </w:rPr>
        <w:t>6</w:t>
      </w:r>
      <w:r w:rsidRPr="0080434C">
        <w:rPr>
          <w:rFonts w:ascii="Arial Narrow" w:hAnsi="Arial Narrow" w:cs="Tahoma"/>
          <w:sz w:val="22"/>
          <w:lang w:val="sr-Cyrl-CS"/>
        </w:rPr>
        <w:t>,</w:t>
      </w:r>
      <w:r w:rsidR="00B87A6D" w:rsidRPr="0080434C">
        <w:rPr>
          <w:rFonts w:ascii="Arial Narrow" w:hAnsi="Arial Narrow" w:cs="Tahoma"/>
          <w:sz w:val="22"/>
          <w:lang w:val="sr-Cyrl-CS"/>
        </w:rPr>
        <w:t>6</w:t>
      </w:r>
      <w:r w:rsidRPr="0080434C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80434C">
        <w:rPr>
          <w:rFonts w:ascii="Arial Narrow" w:hAnsi="Arial Narrow" w:cs="Tahoma"/>
          <w:sz w:val="22"/>
          <w:lang w:val="sr-Cyrl-BA"/>
        </w:rPr>
        <w:t>н</w:t>
      </w:r>
      <w:r w:rsidRPr="0080434C">
        <w:rPr>
          <w:rFonts w:ascii="Arial Narrow" w:hAnsi="Arial Narrow" w:cs="Tahoma"/>
          <w:sz w:val="22"/>
          <w:lang w:val="sr-Cyrl-CS"/>
        </w:rPr>
        <w:t>ајвише се</w:t>
      </w:r>
      <w:r w:rsidRPr="0080434C">
        <w:rPr>
          <w:rFonts w:ascii="Arial Narrow" w:hAnsi="Arial Narrow" w:cs="Tahoma"/>
          <w:sz w:val="22"/>
        </w:rPr>
        <w:t>,</w:t>
      </w:r>
      <w:r w:rsidRPr="0080434C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80434C">
        <w:rPr>
          <w:rFonts w:ascii="Arial Narrow" w:hAnsi="Arial Narrow" w:cs="Tahoma"/>
          <w:sz w:val="22"/>
        </w:rPr>
        <w:t>,</w:t>
      </w:r>
      <w:r w:rsidRPr="0080434C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80434C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80434C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B87A6D" w:rsidRPr="0080434C">
        <w:rPr>
          <w:rFonts w:ascii="Arial Narrow" w:hAnsi="Arial Narrow" w:cs="Tahoma"/>
          <w:sz w:val="22"/>
          <w:lang w:val="sr-Cyrl-CS"/>
        </w:rPr>
        <w:t>661</w:t>
      </w:r>
      <w:r w:rsidRPr="0080434C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80434C">
        <w:rPr>
          <w:rFonts w:ascii="Arial Narrow" w:hAnsi="Arial Narrow" w:cs="Tahoma"/>
          <w:sz w:val="22"/>
          <w:lang w:val="sr-Cyrl-CS"/>
        </w:rPr>
        <w:t>милион</w:t>
      </w:r>
      <w:r w:rsidRPr="0080434C">
        <w:rPr>
          <w:rFonts w:ascii="Arial Narrow" w:hAnsi="Arial Narrow" w:cs="Tahoma"/>
          <w:sz w:val="22"/>
          <w:lang w:val="sr-Cyrl-CS"/>
        </w:rPr>
        <w:t xml:space="preserve"> КМ (1</w:t>
      </w:r>
      <w:r w:rsidR="00B87A6D" w:rsidRPr="0080434C">
        <w:rPr>
          <w:rFonts w:ascii="Arial Narrow" w:hAnsi="Arial Narrow" w:cs="Tahoma"/>
          <w:sz w:val="22"/>
          <w:lang w:val="sr-Cyrl-CS"/>
        </w:rPr>
        <w:t>8</w:t>
      </w:r>
      <w:r w:rsidRPr="0080434C">
        <w:rPr>
          <w:rFonts w:ascii="Arial Narrow" w:hAnsi="Arial Narrow" w:cs="Tahoma"/>
          <w:sz w:val="22"/>
          <w:lang w:val="sr-Cyrl-CS"/>
        </w:rPr>
        <w:t>,</w:t>
      </w:r>
      <w:r w:rsidR="00B87A6D" w:rsidRPr="0080434C">
        <w:rPr>
          <w:rFonts w:ascii="Arial Narrow" w:hAnsi="Arial Narrow" w:cs="Tahoma"/>
          <w:sz w:val="22"/>
          <w:lang w:val="sr-Cyrl-CS"/>
        </w:rPr>
        <w:t>0</w:t>
      </w:r>
      <w:r w:rsidRPr="0080434C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80434C">
        <w:rPr>
          <w:rFonts w:ascii="Arial Narrow" w:hAnsi="Arial Narrow" w:cs="Tahoma"/>
          <w:sz w:val="22"/>
          <w:lang w:val="sr-Cyrl-CS"/>
        </w:rPr>
        <w:t>Италије</w:t>
      </w:r>
      <w:r w:rsidRPr="0080434C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B87A6D" w:rsidRPr="0080434C">
        <w:rPr>
          <w:rFonts w:ascii="Arial Narrow" w:hAnsi="Arial Narrow" w:cs="Tahoma"/>
          <w:sz w:val="22"/>
          <w:lang w:val="sr-Cyrl-CS"/>
        </w:rPr>
        <w:t>512</w:t>
      </w:r>
      <w:r w:rsidRPr="0080434C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423F05" w:rsidRPr="0080434C">
        <w:rPr>
          <w:rFonts w:ascii="Arial Narrow" w:hAnsi="Arial Narrow" w:cs="Tahoma"/>
          <w:sz w:val="22"/>
          <w:lang w:val="sr-Cyrl-CS"/>
        </w:rPr>
        <w:t>3</w:t>
      </w:r>
      <w:r w:rsidRPr="0080434C">
        <w:rPr>
          <w:rFonts w:ascii="Arial Narrow" w:hAnsi="Arial Narrow" w:cs="Tahoma"/>
          <w:sz w:val="22"/>
          <w:lang w:val="sr-Cyrl-CS"/>
        </w:rPr>
        <w:t>,</w:t>
      </w:r>
      <w:r w:rsidR="00DF4D51" w:rsidRPr="0080434C">
        <w:rPr>
          <w:rFonts w:ascii="Arial Narrow" w:hAnsi="Arial Narrow" w:cs="Tahoma"/>
          <w:sz w:val="22"/>
          <w:lang w:val="sr-Cyrl-CS"/>
        </w:rPr>
        <w:t>9</w:t>
      </w:r>
      <w:r w:rsidRPr="0080434C">
        <w:rPr>
          <w:rFonts w:ascii="Arial Narrow" w:hAnsi="Arial Narrow" w:cs="Tahoma"/>
          <w:sz w:val="22"/>
          <w:lang w:val="sr-Cyrl-CS"/>
        </w:rPr>
        <w:t>%).</w:t>
      </w:r>
    </w:p>
    <w:p w:rsidR="00EC6A4E" w:rsidRPr="0080434C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C10F06" w:rsidRPr="0080434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80434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80434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C10F06" w:rsidRPr="0080434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:rsidR="00EC6A4E" w:rsidRPr="0080434C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  <w:r w:rsidRPr="0080434C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80434C">
        <w:rPr>
          <w:rFonts w:ascii="Arial Narrow" w:hAnsi="Arial Narrow" w:cs="Tahoma"/>
          <w:sz w:val="22"/>
          <w:lang w:val="ru-RU"/>
        </w:rPr>
        <w:t>у периоду јануар</w:t>
      </w:r>
      <w:r w:rsidRPr="0080434C">
        <w:rPr>
          <w:rFonts w:ascii="Arial Narrow" w:hAnsi="Arial Narrow" w:cs="Tahoma"/>
          <w:sz w:val="22"/>
          <w:lang w:val="sr-Cyrl-BA"/>
        </w:rPr>
        <w:t xml:space="preserve"> - </w:t>
      </w:r>
      <w:r w:rsidR="00FA0DC3" w:rsidRPr="0080434C">
        <w:rPr>
          <w:rFonts w:ascii="Arial Narrow" w:hAnsi="Arial Narrow" w:cs="Tahoma"/>
          <w:sz w:val="22"/>
          <w:lang w:val="sr-Cyrl-RS"/>
        </w:rPr>
        <w:t xml:space="preserve">јун </w:t>
      </w:r>
      <w:r w:rsidRPr="0080434C">
        <w:rPr>
          <w:rFonts w:ascii="Arial Narrow" w:hAnsi="Arial Narrow" w:cs="Tahoma"/>
          <w:sz w:val="22"/>
          <w:szCs w:val="22"/>
          <w:lang w:val="sr-Cyrl-CS"/>
        </w:rPr>
        <w:t>202</w:t>
      </w:r>
      <w:r w:rsidR="002A619B" w:rsidRPr="0080434C">
        <w:rPr>
          <w:rFonts w:ascii="Arial Narrow" w:hAnsi="Arial Narrow" w:cs="Tahoma"/>
          <w:sz w:val="22"/>
          <w:szCs w:val="22"/>
          <w:lang w:val="sr-Cyrl-CS"/>
        </w:rPr>
        <w:t>5</w:t>
      </w:r>
      <w:r w:rsidRPr="0080434C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AD7847" w:rsidRPr="0080434C">
        <w:rPr>
          <w:rFonts w:ascii="Arial Narrow" w:hAnsi="Arial Narrow" w:cs="Tahoma"/>
          <w:sz w:val="22"/>
          <w:szCs w:val="22"/>
          <w:lang w:val="sr-Cyrl-CS"/>
        </w:rPr>
        <w:t>2</w:t>
      </w:r>
      <w:r w:rsidR="00B87A6D" w:rsidRPr="0080434C">
        <w:rPr>
          <w:rFonts w:ascii="Arial Narrow" w:hAnsi="Arial Narrow" w:cs="Tahoma"/>
          <w:sz w:val="22"/>
          <w:szCs w:val="22"/>
          <w:lang w:val="sr-Cyrl-CS"/>
        </w:rPr>
        <w:t>6</w:t>
      </w:r>
      <w:r w:rsidR="00AD7847" w:rsidRPr="0080434C">
        <w:rPr>
          <w:rFonts w:ascii="Arial Narrow" w:hAnsi="Arial Narrow" w:cs="Tahoma"/>
          <w:sz w:val="22"/>
          <w:szCs w:val="22"/>
          <w:lang w:val="sr-Cyrl-CS"/>
        </w:rPr>
        <w:t>4</w:t>
      </w:r>
      <w:r w:rsidRPr="0080434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80434C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AD7847" w:rsidRPr="0080434C">
        <w:rPr>
          <w:rFonts w:ascii="Arial Narrow" w:hAnsi="Arial Narrow" w:cs="Tahoma"/>
          <w:sz w:val="22"/>
          <w:szCs w:val="22"/>
          <w:lang w:val="sr-Cyrl-CS"/>
        </w:rPr>
        <w:t>а</w:t>
      </w:r>
      <w:r w:rsidR="00656409" w:rsidRPr="0080434C">
        <w:rPr>
          <w:rFonts w:ascii="Arial Narrow" w:hAnsi="Arial Narrow" w:cs="Tahoma"/>
          <w:sz w:val="22"/>
          <w:szCs w:val="22"/>
          <w:lang w:val="sr-Cyrl-CS"/>
        </w:rPr>
        <w:t xml:space="preserve"> КМ, што износи 10</w:t>
      </w:r>
      <w:r w:rsidRPr="0080434C">
        <w:rPr>
          <w:rFonts w:ascii="Arial Narrow" w:hAnsi="Arial Narrow" w:cs="Tahoma"/>
          <w:sz w:val="22"/>
          <w:szCs w:val="22"/>
          <w:lang w:val="sr-Latn-BA"/>
        </w:rPr>
        <w:t>,</w:t>
      </w:r>
      <w:r w:rsidR="00B87A6D" w:rsidRPr="0080434C">
        <w:rPr>
          <w:rFonts w:ascii="Arial Narrow" w:hAnsi="Arial Narrow" w:cs="Tahoma"/>
          <w:sz w:val="22"/>
          <w:szCs w:val="22"/>
          <w:lang w:val="sr-Cyrl-BA"/>
        </w:rPr>
        <w:t>1</w:t>
      </w:r>
      <w:r w:rsidRPr="0080434C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B87A6D" w:rsidRPr="0080434C">
        <w:rPr>
          <w:rFonts w:ascii="Arial Narrow" w:hAnsi="Arial Narrow" w:cs="Tahoma"/>
          <w:sz w:val="22"/>
          <w:szCs w:val="22"/>
          <w:lang w:val="sr-Cyrl-BA"/>
        </w:rPr>
        <w:t>228</w:t>
      </w:r>
      <w:r w:rsidRPr="0080434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80434C">
        <w:rPr>
          <w:rFonts w:ascii="Arial Narrow" w:hAnsi="Arial Narrow" w:cs="Tahoma"/>
          <w:sz w:val="22"/>
          <w:szCs w:val="22"/>
          <w:lang w:val="sr-Cyrl-BA"/>
        </w:rPr>
        <w:t>а</w:t>
      </w:r>
      <w:r w:rsidRPr="0080434C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7C04BB" w:rsidRPr="0080434C">
        <w:rPr>
          <w:rFonts w:ascii="Arial Narrow" w:hAnsi="Arial Narrow" w:cs="Tahoma"/>
          <w:sz w:val="22"/>
          <w:szCs w:val="22"/>
          <w:lang w:val="sr-Cyrl-BA"/>
        </w:rPr>
        <w:t>6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,</w:t>
      </w:r>
      <w:r w:rsidR="00AD7847" w:rsidRPr="0080434C">
        <w:rPr>
          <w:rFonts w:ascii="Arial Narrow" w:hAnsi="Arial Narrow" w:cs="Tahoma"/>
          <w:sz w:val="22"/>
          <w:szCs w:val="22"/>
          <w:lang w:val="sr-Cyrl-BA"/>
        </w:rPr>
        <w:t>2</w:t>
      </w:r>
      <w:r w:rsidRPr="0080434C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80434C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80434C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0434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0434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0434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80434C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80434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0434C" w:rsidRDefault="00C10F06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80434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2443492</wp:posOffset>
                </wp:positionH>
                <wp:positionV relativeFrom="paragraph">
                  <wp:posOffset>2238375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92.4pt;margin-top:176.25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C04BB" w:rsidRPr="0080434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4017727</wp:posOffset>
                </wp:positionH>
                <wp:positionV relativeFrom="paragraph">
                  <wp:posOffset>2227580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250AB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16.35pt;margin-top:175.4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Jxr&#10;v5TiAAAACwEAAA8AAAAAAAAAAAAAAAAAngQAAGRycy9kb3ducmV2LnhtbFBLBQYAAAAABAAEAPMA&#10;AACtBQAAAAA=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250AB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80434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80434C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80434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0434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0434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0434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0434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80434C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80434C">
        <w:rPr>
          <w:rFonts w:ascii="Arial Narrow" w:hAnsi="Arial Narrow" w:cs="Tahoma"/>
          <w:sz w:val="16"/>
          <w:szCs w:val="22"/>
          <w:lang w:val="sr-Cyrl-BA"/>
        </w:rPr>
        <w:t>4</w:t>
      </w:r>
      <w:r w:rsidRPr="0080434C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80434C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80434C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80434C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80434C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FA0DC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A0DC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A0DC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A0DC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FA0DC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FA0DC3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A0DC3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FA0DC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FA0DC3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FA0DC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61967" w:rsidRPr="00FA0DC3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104C2" w:rsidRPr="00FA0DC3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0B2747" w:rsidRPr="00FA0DC3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A91922" w:rsidRPr="00FA0DC3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A0DC3" w:rsidRPr="00FA0DC3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A0DC3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FA0DC3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FA0DC3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FA0DC3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FA0DC3" w:rsidRPr="00FA0DC3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A0DC3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FA0DC3" w:rsidRDefault="002930C1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FA0DC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A0DC3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FA0DC3" w:rsidRPr="00FA0DC3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A0DC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A0DC3" w:rsidRDefault="002930C1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FA0DC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A0DC3" w:rsidRPr="00FA0DC3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A0DC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A0DC3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A0DC3" w:rsidRDefault="002930C1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A0DC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FA0DC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A0DC3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FA0DC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A0DC3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FA0DC3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A0DC3" w:rsidRDefault="002930C1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FA0DC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FA0DC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FA0DC3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A0DC3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FA0DC3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A0DC3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FA0DC3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FA0DC3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BA735A" w:rsidRPr="00FA0DC3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FA0DC3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C2AA9" w:rsidRPr="00FE1625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0F2C2D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0F2C2D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Огњен Игњић, </w:t>
            </w:r>
            <w:r w:rsidR="000F2C2D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стручни савјетник за међународне пројекте и сарадњу</w:t>
            </w:r>
          </w:p>
        </w:tc>
      </w:tr>
      <w:tr w:rsidR="00FE1625" w:rsidRPr="00FE1625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930C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930C1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930C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930C1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A0DC3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A0DC3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C104C2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FE346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A0DC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D762C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5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21039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234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D762C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8172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91E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C1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4C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1729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1E4F23DE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JUN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2024</c:v>
                  </c:pt>
                  <c:pt idx="7">
                    <c:v>2025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1426</c:v>
                </c:pt>
                <c:pt idx="1">
                  <c:v>1416</c:v>
                </c:pt>
                <c:pt idx="2">
                  <c:v>1411</c:v>
                </c:pt>
                <c:pt idx="3">
                  <c:v>1412</c:v>
                </c:pt>
                <c:pt idx="4">
                  <c:v>1420</c:v>
                </c:pt>
                <c:pt idx="5">
                  <c:v>1420</c:v>
                </c:pt>
                <c:pt idx="6">
                  <c:v>1438</c:v>
                </c:pt>
                <c:pt idx="7">
                  <c:v>1434</c:v>
                </c:pt>
                <c:pt idx="8">
                  <c:v>1475</c:v>
                </c:pt>
                <c:pt idx="9">
                  <c:v>1476</c:v>
                </c:pt>
                <c:pt idx="10">
                  <c:v>1473</c:v>
                </c:pt>
                <c:pt idx="11">
                  <c:v>1549</c:v>
                </c:pt>
                <c:pt idx="12">
                  <c:v>1564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56-4A8A-91AD-FA43648D6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2024</c:v>
                  </c:pt>
                  <c:pt idx="7">
                    <c:v>2025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-0.5</c:v>
                </c:pt>
                <c:pt idx="1">
                  <c:v>0</c:v>
                </c:pt>
                <c:pt idx="2">
                  <c:v>0.3</c:v>
                </c:pt>
                <c:pt idx="3">
                  <c:v>0.1</c:v>
                </c:pt>
                <c:pt idx="4">
                  <c:v>0.1</c:v>
                </c:pt>
                <c:pt idx="5">
                  <c:v>0.4</c:v>
                </c:pt>
                <c:pt idx="6">
                  <c:v>0.5</c:v>
                </c:pt>
                <c:pt idx="7">
                  <c:v>1.6</c:v>
                </c:pt>
                <c:pt idx="8">
                  <c:v>0.8</c:v>
                </c:pt>
                <c:pt idx="9">
                  <c:v>0.1</c:v>
                </c:pt>
                <c:pt idx="10">
                  <c:v>0.3</c:v>
                </c:pt>
                <c:pt idx="11">
                  <c:v>0.3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2024</c:v>
                  </c:pt>
                  <c:pt idx="7">
                    <c:v>2025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1.7</c:v>
                </c:pt>
                <c:pt idx="1">
                  <c:v>1.8</c:v>
                </c:pt>
                <c:pt idx="2">
                  <c:v>1.1000000000000001</c:v>
                </c:pt>
                <c:pt idx="3">
                  <c:v>0.4</c:v>
                </c:pt>
                <c:pt idx="4">
                  <c:v>0.5</c:v>
                </c:pt>
                <c:pt idx="5">
                  <c:v>1.1000000000000001</c:v>
                </c:pt>
                <c:pt idx="6">
                  <c:v>1.9</c:v>
                </c:pt>
                <c:pt idx="7">
                  <c:v>3.2</c:v>
                </c:pt>
                <c:pt idx="8">
                  <c:v>3.6</c:v>
                </c:pt>
                <c:pt idx="9">
                  <c:v>3.3</c:v>
                </c:pt>
                <c:pt idx="10">
                  <c:v>3.6</c:v>
                </c:pt>
                <c:pt idx="11">
                  <c:v>4.0999999999999996</c:v>
                </c:pt>
                <c:pt idx="12">
                  <c:v>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7343785731374781E-2"/>
          <c:y val="3.397683397683398E-2"/>
          <c:w val="0.92156927858377902"/>
          <c:h val="0.70637608210732494"/>
        </c:manualLayout>
      </c:layout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1F497D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2021</c:v>
                  </c:pt>
                  <c:pt idx="7">
                    <c:v>2022</c:v>
                  </c:pt>
                  <c:pt idx="19">
                    <c:v>2023</c:v>
                  </c:pt>
                  <c:pt idx="31">
                    <c:v>2024</c:v>
                  </c:pt>
                  <c:pt idx="43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101.99634330401216</c:v>
                </c:pt>
                <c:pt idx="1">
                  <c:v>97.316258786200663</c:v>
                </c:pt>
                <c:pt idx="2">
                  <c:v>97.738789285293834</c:v>
                </c:pt>
                <c:pt idx="3">
                  <c:v>95.683452534314767</c:v>
                </c:pt>
                <c:pt idx="4">
                  <c:v>93.881237355764199</c:v>
                </c:pt>
                <c:pt idx="5">
                  <c:v>103.94969313074714</c:v>
                </c:pt>
                <c:pt idx="6">
                  <c:v>105.86435167253032</c:v>
                </c:pt>
                <c:pt idx="7">
                  <c:v>98.690425414225359</c:v>
                </c:pt>
                <c:pt idx="8">
                  <c:v>100.92159858297644</c:v>
                </c:pt>
                <c:pt idx="9">
                  <c:v>106.67060940315589</c:v>
                </c:pt>
                <c:pt idx="10">
                  <c:v>107.89948906705116</c:v>
                </c:pt>
                <c:pt idx="11">
                  <c:v>105.2588013534437</c:v>
                </c:pt>
                <c:pt idx="12">
                  <c:v>101.40552019067356</c:v>
                </c:pt>
                <c:pt idx="13">
                  <c:v>94.809272779525259</c:v>
                </c:pt>
                <c:pt idx="14">
                  <c:v>99.327860237761726</c:v>
                </c:pt>
                <c:pt idx="15">
                  <c:v>92.204649640244767</c:v>
                </c:pt>
                <c:pt idx="16">
                  <c:v>94.06282686736057</c:v>
                </c:pt>
                <c:pt idx="17">
                  <c:v>98.746763102681172</c:v>
                </c:pt>
                <c:pt idx="18">
                  <c:v>99.382501546333074</c:v>
                </c:pt>
                <c:pt idx="19">
                  <c:v>103.50160160349651</c:v>
                </c:pt>
                <c:pt idx="20">
                  <c:v>98.181789345948843</c:v>
                </c:pt>
                <c:pt idx="21">
                  <c:v>104.6207421029775</c:v>
                </c:pt>
                <c:pt idx="22">
                  <c:v>99.778925942277993</c:v>
                </c:pt>
                <c:pt idx="23">
                  <c:v>100.71723523472245</c:v>
                </c:pt>
                <c:pt idx="24">
                  <c:v>93.907116328501644</c:v>
                </c:pt>
                <c:pt idx="25">
                  <c:v>94.590916419249012</c:v>
                </c:pt>
                <c:pt idx="26">
                  <c:v>97.107950039272581</c:v>
                </c:pt>
                <c:pt idx="27">
                  <c:v>95.411230526336524</c:v>
                </c:pt>
                <c:pt idx="28">
                  <c:v>93.680801494305157</c:v>
                </c:pt>
                <c:pt idx="29">
                  <c:v>88.271762315465836</c:v>
                </c:pt>
                <c:pt idx="30">
                  <c:v>93.294601015441557</c:v>
                </c:pt>
                <c:pt idx="31">
                  <c:v>96.422796697095293</c:v>
                </c:pt>
                <c:pt idx="32">
                  <c:v>99.591661302750367</c:v>
                </c:pt>
                <c:pt idx="33">
                  <c:v>92.991625787776414</c:v>
                </c:pt>
                <c:pt idx="34">
                  <c:v>93.024977302990678</c:v>
                </c:pt>
                <c:pt idx="35">
                  <c:v>90.704544743004817</c:v>
                </c:pt>
                <c:pt idx="36">
                  <c:v>87.00641363129381</c:v>
                </c:pt>
                <c:pt idx="37">
                  <c:v>92.630481029432218</c:v>
                </c:pt>
                <c:pt idx="38">
                  <c:v>88.072813770840739</c:v>
                </c:pt>
                <c:pt idx="39">
                  <c:v>91.521329077163898</c:v>
                </c:pt>
                <c:pt idx="40">
                  <c:v>98.136793577585905</c:v>
                </c:pt>
                <c:pt idx="41">
                  <c:v>93.476777338197735</c:v>
                </c:pt>
                <c:pt idx="42">
                  <c:v>89.044344039628399</c:v>
                </c:pt>
                <c:pt idx="43">
                  <c:v>90.282323965749285</c:v>
                </c:pt>
                <c:pt idx="44">
                  <c:v>94.380396491489549</c:v>
                </c:pt>
                <c:pt idx="45">
                  <c:v>91.894875555436641</c:v>
                </c:pt>
                <c:pt idx="46">
                  <c:v>92.023572640519205</c:v>
                </c:pt>
                <c:pt idx="47">
                  <c:v>79.35620686871458</c:v>
                </c:pt>
                <c:pt idx="48">
                  <c:v>87.165916790612798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17-4C9D-979C-A8177CA66E0A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2021</c:v>
                  </c:pt>
                  <c:pt idx="7">
                    <c:v>2022</c:v>
                  </c:pt>
                  <c:pt idx="19">
                    <c:v>2023</c:v>
                  </c:pt>
                  <c:pt idx="31">
                    <c:v>2024</c:v>
                  </c:pt>
                  <c:pt idx="43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99.311739945700822</c:v>
                </c:pt>
                <c:pt idx="1">
                  <c:v>98.422228963928205</c:v>
                </c:pt>
                <c:pt idx="2">
                  <c:v>97.358404441841643</c:v>
                </c:pt>
                <c:pt idx="3">
                  <c:v>96.877981227292793</c:v>
                </c:pt>
                <c:pt idx="4">
                  <c:v>98.032426825229621</c:v>
                </c:pt>
                <c:pt idx="5">
                  <c:v>100.68970556254347</c:v>
                </c:pt>
                <c:pt idx="6">
                  <c:v>102.12047417558379</c:v>
                </c:pt>
                <c:pt idx="7">
                  <c:v>101.95430895820952</c:v>
                </c:pt>
                <c:pt idx="8">
                  <c:v>102.74316751367077</c:v>
                </c:pt>
                <c:pt idx="9">
                  <c:v>104.62569049044406</c:v>
                </c:pt>
                <c:pt idx="10">
                  <c:v>105.38143427740256</c:v>
                </c:pt>
                <c:pt idx="11">
                  <c:v>103.92911099330092</c:v>
                </c:pt>
                <c:pt idx="12">
                  <c:v>100.95181581258053</c:v>
                </c:pt>
                <c:pt idx="13">
                  <c:v>98.210080244236337</c:v>
                </c:pt>
                <c:pt idx="14">
                  <c:v>96.471168960172406</c:v>
                </c:pt>
                <c:pt idx="15">
                  <c:v>95.364680710155596</c:v>
                </c:pt>
                <c:pt idx="16">
                  <c:v>95.7889614743452</c:v>
                </c:pt>
                <c:pt idx="17">
                  <c:v>97.652704582250664</c:v>
                </c:pt>
                <c:pt idx="18">
                  <c:v>99.587295405550933</c:v>
                </c:pt>
                <c:pt idx="19">
                  <c:v>100.71746925407807</c:v>
                </c:pt>
                <c:pt idx="20">
                  <c:v>101.11624376978277</c:v>
                </c:pt>
                <c:pt idx="21">
                  <c:v>101.22225570678327</c:v>
                </c:pt>
                <c:pt idx="22">
                  <c:v>100.40903996666863</c:v>
                </c:pt>
                <c:pt idx="23">
                  <c:v>98.56553598600928</c:v>
                </c:pt>
                <c:pt idx="24">
                  <c:v>96.58091984005722</c:v>
                </c:pt>
                <c:pt idx="25">
                  <c:v>95.676607237729911</c:v>
                </c:pt>
                <c:pt idx="26">
                  <c:v>95.523321164836148</c:v>
                </c:pt>
                <c:pt idx="27">
                  <c:v>94.716459476172375</c:v>
                </c:pt>
                <c:pt idx="28">
                  <c:v>93.165574847034932</c:v>
                </c:pt>
                <c:pt idx="29">
                  <c:v>92.322884707768907</c:v>
                </c:pt>
                <c:pt idx="30">
                  <c:v>93.424564310129995</c:v>
                </c:pt>
                <c:pt idx="31">
                  <c:v>95.34545410504316</c:v>
                </c:pt>
                <c:pt idx="32">
                  <c:v>95.871798521393814</c:v>
                </c:pt>
                <c:pt idx="33">
                  <c:v>94.494508844983983</c:v>
                </c:pt>
                <c:pt idx="34">
                  <c:v>92.584684808390435</c:v>
                </c:pt>
                <c:pt idx="35">
                  <c:v>90.877229278387148</c:v>
                </c:pt>
                <c:pt idx="36">
                  <c:v>89.988082232628159</c:v>
                </c:pt>
                <c:pt idx="37">
                  <c:v>90.163230076259936</c:v>
                </c:pt>
                <c:pt idx="38">
                  <c:v>90.816100643144424</c:v>
                </c:pt>
                <c:pt idx="39">
                  <c:v>92.337707635016116</c:v>
                </c:pt>
                <c:pt idx="40">
                  <c:v>93.653749050960954</c:v>
                </c:pt>
                <c:pt idx="41">
                  <c:v>92.972423865095294</c:v>
                </c:pt>
                <c:pt idx="42">
                  <c:v>91.604517260455026</c:v>
                </c:pt>
                <c:pt idx="43">
                  <c:v>91.49279256670799</c:v>
                </c:pt>
                <c:pt idx="44">
                  <c:v>91.910653897975109</c:v>
                </c:pt>
                <c:pt idx="45">
                  <c:v>91.14403871964177</c:v>
                </c:pt>
                <c:pt idx="46">
                  <c:v>88.593220521081065</c:v>
                </c:pt>
                <c:pt idx="47">
                  <c:v>85.994907592046857</c:v>
                </c:pt>
                <c:pt idx="48">
                  <c:v>85.460667860995585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17-4C9D-979C-A8177CA66E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'Jun_ 2025'!$A$2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'Jun_ 2025'!$B$1:$N$1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2025'!$B$2:$N$2</c:f>
              <c:numCache>
                <c:formatCode>0</c:formatCode>
                <c:ptCount val="13"/>
                <c:pt idx="0">
                  <c:v>636600</c:v>
                </c:pt>
                <c:pt idx="1">
                  <c:v>665445</c:v>
                </c:pt>
                <c:pt idx="2">
                  <c:v>592902</c:v>
                </c:pt>
                <c:pt idx="3">
                  <c:v>626394</c:v>
                </c:pt>
                <c:pt idx="4">
                  <c:v>664492</c:v>
                </c:pt>
                <c:pt idx="5">
                  <c:v>611254</c:v>
                </c:pt>
                <c:pt idx="6">
                  <c:v>627336</c:v>
                </c:pt>
                <c:pt idx="7">
                  <c:v>497411</c:v>
                </c:pt>
                <c:pt idx="8">
                  <c:v>632775</c:v>
                </c:pt>
                <c:pt idx="9">
                  <c:v>706786</c:v>
                </c:pt>
                <c:pt idx="10">
                  <c:v>636104</c:v>
                </c:pt>
                <c:pt idx="11">
                  <c:v>602644</c:v>
                </c:pt>
                <c:pt idx="12">
                  <c:v>602154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'Jun_ 2025'!$A$3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'Jun_ 2025'!$B$1:$N$1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2025'!$B$3:$N$3</c:f>
              <c:numCache>
                <c:formatCode>0</c:formatCode>
                <c:ptCount val="13"/>
                <c:pt idx="0">
                  <c:v>411949</c:v>
                </c:pt>
                <c:pt idx="1">
                  <c:v>442513</c:v>
                </c:pt>
                <c:pt idx="2">
                  <c:v>352825</c:v>
                </c:pt>
                <c:pt idx="3">
                  <c:v>452777</c:v>
                </c:pt>
                <c:pt idx="4">
                  <c:v>471631</c:v>
                </c:pt>
                <c:pt idx="5">
                  <c:v>458437</c:v>
                </c:pt>
                <c:pt idx="6">
                  <c:v>416629</c:v>
                </c:pt>
                <c:pt idx="7">
                  <c:v>352094</c:v>
                </c:pt>
                <c:pt idx="8">
                  <c:v>434760</c:v>
                </c:pt>
                <c:pt idx="9">
                  <c:v>463320</c:v>
                </c:pt>
                <c:pt idx="10">
                  <c:v>466195</c:v>
                </c:pt>
                <c:pt idx="11">
                  <c:v>449007</c:v>
                </c:pt>
                <c:pt idx="12">
                  <c:v>447960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5322-607A-4B1A-800E-03EA7132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5</Pages>
  <Words>981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6917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305</cp:revision>
  <cp:lastPrinted>2020-06-17T08:46:00Z</cp:lastPrinted>
  <dcterms:created xsi:type="dcterms:W3CDTF">2024-03-21T06:55:00Z</dcterms:created>
  <dcterms:modified xsi:type="dcterms:W3CDTF">2025-07-22T06:19:00Z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